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1F4E79"/>
          <w:sz w:val="32"/>
        </w:rPr>
        <w:t>ЭДО в Китайской Народной Республике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555555"/>
          <w:sz w:val="22"/>
        </w:rPr>
        <w:t>Сравнительный обзор с Российской Федерацией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Документ подготовлен для сравнительного анализа зарубежного регулирования электронного документооборота (ЭДО) с правовой моделью Российской Федерации (ФЗ № 63‑ФЗ «Об электронной подписи», отраслевые режимы ЭДО/КЭДО).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1. Краткий обзор регулирования ЭДО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Основной акт — Закон КНР «Об электронной подписи» (принят 28.08.2004, в силе с 01.04.2005; изменения 2015 и 2019 гг.).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Стороны вправе договориться об использовании электронной подписи и цифровых сообщений; юридическая сила не отрицается только из‑за электронной формы.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«Надёжная» электронная подпись при выполнении критериев закона имеет силу, сопоставимую с собственноручной подписью или печатью.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Услуги электронной сертификации лицензируются; иностранные сертификаты признаются по соглашению или принципу взаимности после одобрения компетентного органа.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Закон прямо исключает ряд категорий (брачно‑семейные отношения, наследование, недвижимость, отдельные коммунальные уведомления и др.).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2. Ключевые особенности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Договорная основа использования ЭП + критерии «надёжной» подписи.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Лицензирование провайдеров сертификации.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Признание иностранных сертификатов через взаимность/договор, а не автоматическое.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Чёткий список исключений электронной формы.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3. База для сравнения: ЭДО в Российской Федерации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Юридическая сила электронного документа и подписи регулируется прежде всего ФЗ № 63‑ФЗ (ПЭП / УНЭП / УКЭП).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B2B‑ЭДО (счета‑фактуры, УПД и др.) — через операторов ЭДО и отраслевые требования ФНС/Минфина.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Кадровый ЭДО — ст. 22.1–22.3 ТК РФ (согласие работника, виды ЭП, исключения).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Трансграничное признание иностранных ЭП — ограниченно: международные договоры, соглашение сторон, условия 63‑ФЗ; в контуре ЕАЭС — через службы доверенной третьей стороны (ДТС).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i w:val="0"/>
          <w:sz w:val="22"/>
        </w:rPr>
        <w:t>Источники по РФ (для сверки):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ФЗ от 06.04.2011 № 63‑ФЗ «Об электронной подписи» (КонсультантПлюс):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https://www.consultant.ru/document/cons_doc_LAW_112701/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ТК РФ, ст. 22.1–22.3 (КЭДО):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https://www.consultant.ru/document/cons_doc_LAW_34683/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4. Сравнительный анализ с ЭДО РФ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Сходство с РФ: критерии надёжности + роль удостоверяющих/сертификационных центров; осторожное признание иностранной ЭП.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Сходство: есть явные исключения для отдельных юридически чувствительных актов (в РФ — в т.ч. п. 3 ст. 22.1 ТК РФ и отраслевые запреты).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Отличие: в Китае базовый закон сфокусирован на подписи и data message; операторский ЭДО счетов/отчётности — в иных актах. В РФ фискальный ЭДО проработан очень детально.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5. Что из этой практики можно добавить в РФ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Поддерживать в российском праве явный, короткий и обновляемый перечень документов, которые нельзя перевести в «простой» электронный вид без специальных гарантий (как список исключений в КНР) — уже частично есть в КЭДО, можно системно сверить гражданский оборот.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Для иностранных сертификатов сохранять модель «взаимность / договор / уполномоченный орган» — она близка и Китаю, и текущему 63‑ФЗ.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6. Что не стоит переносить / что можно упростить у нас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Не ужесточать ЭДО до модели «почти всё только через лицензированного провайдера» для простых внутренних документов — это повысит издержки МСП.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 w:val="0"/>
          <w:sz w:val="22"/>
        </w:rPr>
        <w:t>Не копировать китайский список исключений буквально (недвижимость/семья): российские исключения должны соответствовать ГК РФ и ТК РФ.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28"/>
        </w:rPr>
        <w:t>7. Ссылки на источники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WIPO Lex — Electronic Signature Law of the PRC: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https://www.wipo.int/wipolex/en/text/199526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AsianLII — Law of the PRC on Electronic Signature (EN):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https://www.asianlii.org/cn/legis/cen/laws/lotprocoes516/</w:t>
      </w:r>
    </w:p>
    <w:p>
      <w:pPr>
        <w:pStyle w:val="ListBullet"/>
        <w:spacing w:after="60"/>
      </w:pPr>
      <w:r>
        <w:rPr>
          <w:rFonts w:ascii="Times New Roman" w:hAnsi="Times New Roman" w:eastAsia="Times New Roman"/>
          <w:b/>
          <w:sz w:val="22"/>
        </w:rPr>
        <w:t xml:space="preserve">Обзор на русском (CNLegal): </w:t>
      </w:r>
      <w:r>
        <w:rPr>
          <w:rFonts w:ascii="Times New Roman" w:hAnsi="Times New Roman" w:eastAsia="Times New Roman"/>
          <w:b w:val="0"/>
          <w:color w:val="0563C1"/>
          <w:sz w:val="22"/>
        </w:rPr>
        <w:t>https://cnlegal.ru/civil_law/china_digital_signature_law/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i/>
          <w:sz w:val="22"/>
        </w:rPr>
        <w:t>Примечание: обзор носит информационно‑аналитический характер и не является юридической консультацией. Нормы иностранных актов следует проверять по официальным публикациям на дату использования.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