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32"/>
        </w:rPr>
        <w:t>НАУЧНО-ИССЛЕДОВАТЕЛЬСКАЯ РАБОТА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Тема: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Анализ законодательства иностранных государств в части электронного документооборота (в целом) и в части электронного документооборота в охране труда. Сравнение с российской практикой.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Вид документа: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полный черновик разделов (введение, главы 1–3, заключение, источники).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Актуализация источников: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август 2026 г.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Как проверять.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У ключевых норм в тексте — гиперссылка на официальный источник. В архиве у каждой страновой справки и карточки дела после блока фактов стоит строка «Проверить» с кликабельным URL. Номера судебных дел не вымышлены.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Ядро юрисдикций: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Европейский союз, Великобритания, США, Сингапур, Китай, Казахстан / ЕАЭС; второй комплект — Германия, Беларусь, Сербия, Испания, Ирландия, Франция, Кения; линия сравнения — Российская Федерация.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32"/>
        </w:rPr>
        <w:t>ВВЕДЕНИЕ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30"/>
        </w:rPr>
        <w:t>§ 1. Актуальность темы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Цифровизация трудовых и охранительных процессов ставит перед правом один и тот же вопрос в разных формулировках: при каких условиях электронная запись заменяет бумажный документ так, чтобы инспектор, суд и стороны трудового договора могли на неё опираться. В коммерческом обороте ответ давно дан через законы об электронной подписи и электронных записях. В охране труда ответ сложнее: документ здесь одновременно служит доказательством исполнения обязанности работодателя, инструментом допуска к работе и материалом государственного контроля.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 Российской Федерации кадровый электронный документооборот закреплён в </w:t>
      </w:r>
      <w:hyperlink r:id="rId9">
        <w:r>
          <w:rPr>
            <w:color w:val="0563C1"/>
            <w:u w:val="single"/>
            <w:sz w:val="28"/>
            <w:rFonts w:ascii="Times New Roman" w:hAnsi="Times New Roman"/>
          </w:rPr>
          <w:t xml:space="preserve">ст. 22.1–22.3 Трудового кодекса РФ</w:t>
        </w:r>
      </w:hyperlink>
      <w:r>
        <w:rPr>
          <w:rFonts w:ascii="Times New Roman" w:hAnsi="Times New Roman" w:eastAsia="Times New Roman"/>
          <w:b w:val="0"/>
          <w:i w:val="0"/>
          <w:sz w:val="28"/>
        </w:rPr>
        <w:t xml:space="preserve">, а обучение по охране труда детализировано Правилами, утверждёнными </w:t>
      </w:r>
      <w:hyperlink r:id="rId10">
        <w:r>
          <w:rPr>
            <w:color w:val="0563C1"/>
            <w:u w:val="single"/>
            <w:sz w:val="28"/>
            <w:rFonts w:ascii="Times New Roman" w:hAnsi="Times New Roman"/>
          </w:rPr>
          <w:t xml:space="preserve">постановлением Правительства РФ от 24.12.2021 № 2464</w:t>
        </w:r>
      </w:hyperlink>
      <w:r>
        <w:rPr>
          <w:rFonts w:ascii="Times New Roman" w:hAnsi="Times New Roman" w:eastAsia="Times New Roman"/>
          <w:b w:val="0"/>
          <w:i w:val="0"/>
          <w:sz w:val="28"/>
        </w:rPr>
        <w:t xml:space="preserve">. Одновременно </w:t>
      </w:r>
      <w:hyperlink r:id="rId9">
        <w:r>
          <w:rPr>
            <w:color w:val="0563C1"/>
            <w:u w:val="single"/>
            <w:sz w:val="28"/>
            <w:rFonts w:ascii="Times New Roman" w:hAnsi="Times New Roman"/>
          </w:rPr>
          <w:t xml:space="preserve">ч. 3 ст. 22.1 ТК РФ</w:t>
        </w:r>
      </w:hyperlink>
      <w:r>
        <w:rPr>
          <w:rFonts w:ascii="Times New Roman" w:hAnsi="Times New Roman" w:eastAsia="Times New Roman"/>
          <w:b w:val="0"/>
          <w:i w:val="0"/>
          <w:sz w:val="28"/>
        </w:rPr>
        <w:t xml:space="preserve"> исключает из кадрового ЭДО документы, подтверждающие прохождение инструктажей по охране труда, и акты о несчастном случае на производстве. Получается внутреннее напряжение: общая цифровизация трудовых документов продвигается, а ключевые доказательства по охране труда остаются в бумажной логике.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За рубежом специального «закона об ЭДО в охране труда» почти нигде нет. Электронные журналы инструктажей, записи обучения, оценки рисков и отчётность по травматизму обычно выводятся из общей рамки электронной подписи/записи плюс отраслевых требований OSH/WSH. Поэтому корректный сравнительно-правовой анализ требует двух уровней: сначала — регулирование ЭДО в целом, затем — его применение к процессам охраны труда, и только после этого — сравнение с российской практикой.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30"/>
        </w:rPr>
        <w:t>§ 2. Степень научной разработанности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Общие вопросы юридической силы электронных документов и подписей подробно исследованы в доктрине информационного и гражданского права, а также в материалах UNCITRAL и комментариях к eIDAS. Значительно меньше работ, где эта рамка последовательно приложена именно к охранительным документам: журналам инструктажей, протоколам обучения, нарядам-допускам, актам несчастных случаев.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Российская практика кадрового ЭДО и применения № 2464 активно обсуждается в прикладных обзорах, разъяснениях и консультациях, но сравнительные исследования обычно либо ограничиваются общим ЭДО (63‑ФЗ), либо описывают зарубежную охрану труда без привязки к режиму электронной подписи. Настоящая работа соединяет оба пласта.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30"/>
        </w:rPr>
        <w:t>§ 3. Цель, задачи, объект и предмет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Цель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на основе анализа законодательства и практики иностранных государств выявить модели регулирования ЭДО в целом и особенности применения ЭДО в охране труда, а также сформулировать сравнительно-правовые выводы и предложения для российской системы.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Задачи: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1) раскрыть общетеоретические основы регулирования ЭДО в иностранных государствах и международные модели;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2) систематизировать зарубежный опыт применения ЭДО в ключевых процессах охраны труда;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3) сопоставить зарубежные подходы с российским регулированием (63‑ФЗ, ст. 22.1–22.3 ТК РФ, ПП № 2464);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4) определить, какие элементы зарубежного опыта целесообразно заимствовать, а какие переносить нельзя.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Объект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правовое регулирование электронного документооборота и практика его применения.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Предмет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юридическая сила электронных документов/записей и подписей; инфраструктура доверия; хранение и доказывание; трансграничное признание; применение этой рамки к документам и процессам охраны труда.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30"/>
        </w:rPr>
        <w:t>§ 4. Методология и методы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Основной метод — сравнительно-правовой. Используются также формально-юридический анализ текстов, системный подход (общее ЭДО → отраслевое применение → сравнение с РФ) и элементы правового моделирования (предложения de lege lata / de lege ferenda).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Иерархия источников: (1) законы и регламенты; (2) подзаконные акты; (3) официальные разъяснения регуляторов; (4) судебная практика — точечно; (5) стандарты ISO/ILO как практика менеджмента, не как норма права; (6) доктрина и обзоры — только как навигатор к актам уровней 1–3.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30"/>
        </w:rPr>
        <w:t>§ 5. Границы исследования и выборка юрисдикций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ядро включены шесть юрисдикций, представляющих разные модели: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ЕС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иерархия подписей и пространство доверия (eIDAS / eIDAS 2.0);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Великобритания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доказательственная модель + goal-setting в ОТ;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США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технологическая нейтральность + electronic training records / OSHA;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Сингапур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торговый ЭДО и государственный реестр WSH-обучения;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Китай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«надёжная» ЭП и применение к safety docs;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Казахстан / ЕАЭС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ближайший интеграционный контур и прямая легализация электронного журнала инструктажа.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За рамками детального разбора оставлены узкоотраслевые режимы (таможенный ЭДО, счета-фактуры, электронные коносаменты) — они используются в главе 1 лишь как иллюстрация моделей. Медицинские допуски рассматриваются ограниченно из‑за режима персональных данных.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30"/>
        </w:rPr>
        <w:t>§ 6. Научная новизна, теоретическая и практическая значимость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Новизна состоит в связке двух обычно разрозненных вопросов — общего ЭДО и ЭДО в охране труда — в единой сравнительно-правовой конструкции «модель → процесс ОТ → сравнение с РФ». Практическая значимость — в конкретных предложениях по уточнению ч. 3 ст. 22.1 ТК РФ и/или № 2464, стандарту реквизитов электронной записи ОТ и развитию проверки обучения до допуска.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30"/>
        </w:rPr>
        <w:t>§ 7. Структура работы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Работа состоит из введения, трёх глав, заключения, списка источников и приложений. Глава 1 даёт общетеоретический раздел о регулировании ЭДО в иностранных государствах. Глава 2 — зарубежный опыт применения ЭДО в охране труда. Глава 3 — сравнение с российской практикой и предложения. Приложения содержат заполненные матрицы A/B/C и страновые карточки.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32"/>
        </w:rPr>
        <w:t>ГЛАВА 1. ОБЩЕТЕОРЕТИЧЕСКИЕ ОСНОВЫ РЕГУЛИРОВАНИЯ ЭДО В ИНОСТРАННЫХ ГОСУДАРСТВАХ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30"/>
        </w:rPr>
        <w:t>§ 1.1. Понятие электронного документооборота, электронного документа и электронной записи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1.1.1. Электронный документ, electronic record и electronic message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российском управленческом языке «ЭДО» часто означает систему обмена формализованными документами через оператора. В зарубежном праве исходная единица обычно другая: *electronic record* (электронная запись), *electronic signature* (электронная подпись), *electronic message* (электронное сообщение), *trust service* (услуга доверия). Закон регулирует не отрасль «операторов ЭДО», а условия, при которых электронная форма не лишает документ юридической силы.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Это terminological расхождение важно методологически. Если искать за рубежом «закон об ЭДО», результат будет бедным. Если искать режим электронной записи и подписи — обнаруживается плотная сеть актов UNCITRAL, eIDAS, ESIGN, ETA и национальных законов об ЭЦП.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1.1.2. Почему зарубежное право регулирует «подпись и запись», а не «оператора ЭДО»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Оператор обмена — технологический и рыночный институт. Право интересует другое: идентификация подписанта, выражение воли, целостность содержания, возможность впоследствии воспроизвести запись, допустимость в суде. Поэтому eIDAS говорит о простых, усиленных и квалифицированных подписях и о квалифицированных поставщиках услуг доверия; ESIGN — о согласии и сохраняемости; MLEC — о функциональной эквивалентности письму, оригиналу и подписи.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1.1.3. Функциональная эквивалентность письменной форме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Ключевой принцип современной рамки: требование «письменности» считается выполненным, если электронная запись доступна для последующего использования и позволяет установить содержание. Требование «подписи» выполняется, если метод идентифицирует лицо и указывает на его намерение подписать запись. Именно этот подход позволяет переносить электронную форму в охрану труда без отдельного «закона о журнале»: если запись выполняет функции бумаги, форма может быть электронной — пока специальный акт прямо не требует иного.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30"/>
        </w:rPr>
        <w:t>§ 1.2. Международная унификация правил электронной торговли и подписи (UNCITRAL)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1.2.1. Типовой закон об электронной торговле (MLEC, 1996)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MLEC закрепил три опоры: недискриминацию электронной формы; технологическую нейтральность; функциональную эквивалентность. Государство не должно отвергать сообщение или договор только потому, что они электронные. Закон не предписывает конкретную криптографию. Письмо, оригинал и подпись описываются через функции, а не через бумагу.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1.2.2. Типовой закон об электронных подписях (MLES, 2001)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MLES уточняет критерии надёжности подписи и роли подписанта, полагающейся стороны и доверенных третьих лиц. Для трансграничности важен принцип существенной эквивалентности: иностранная подпись может признаваться, если обеспечивает сопоставимый уровень надёжности.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1.2.3. Конвенция Нью‑Йорк 2005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Конвенция об использовании электронных сообщений в международных договорах унифицирует правила для трансграничных электронных договоров и снимает формальные барьеры «бумажного» договора в международной торговле. Сингапур прямо ориентировал на неё свой Electronic Transactions Act.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1.2.4. MLETR (2017) и статус к 2026 году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Типовой закон об электронных передаваемых записях закрывает пробел товарораспорядительных документов: электронных коносаментов, складских свидетельств и аналогов. К 2026 г. законодательство на базе или под влиянием MLETR принято в ряде юрисдикций, включая Сингапур (2021), Великобританию (ETDA 2023), Францию (2024) и Китай (2025, с развитием положений об электронных документах с 01.09.2026).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Для охраны труда MLETR важен не как прямой источник, а как показатель зрелости правовой системы: государства, способные легализовать электронный коносамент, обычно уже имеют и общую доктрину электронной записи, на которую опираются и safety records.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30"/>
        </w:rPr>
        <w:t>§ 1.3. Две базовые модели национального регулирования ЭДО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1.3.1. Модель иерархии подписей и квалифицированных услуг доверия (ЕС)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Регламент (EU) № 910/2014 (eIDAS) выстроил пространство доверия: простая (SES), усиленная (AES) и квалифицированная (QES) электронные подписи. QES имеет силу собственноручной подписи и взаимно признаётся во всех государствах‑членах. Рядом — электронные печати, метки времени, заказные электронные доставки, услуги валидации и хранения.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Регламент (EU) 2024/1183 (eIDAS 2.0) с 20.05.2024 усилил слой цифровой идентичности: государства‑члены должны предоставить EUDI Wallet к концу 2026 г.; отдельные частные relying parties обязаны принимать кошелёк по запросу пользователя не позднее 24.12.2027. Перечень квалифицированных услуг расширен (архивирование, электронные реестры, аттестация атрибутов). Уровни SES/AES/QES сохранены.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Вывод для сравнения с РФ: российская триада ПЭП / УНЭП / УКЭП функционально близка европейской иерархии. Главное отличие — автоматическое взаимное признание внутри ЕС против точечного признания иностранных подписей в РФ.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1.3.2. Модель технологической нейтральности и согласия сторон (США)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ESIGN Act и UETA исходят из другого тезиса: договор или запись не лишаются силы только потому, что использованы электронная подпись или электронная запись. Закон не требует квалифицированного сертификата. Достаточно электронной звуковой, символьной или процессной привязки, логически связанной с записью и сделанной с намерением подписать.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Сильный акцент — на согласии (особенно consumer consent) и на возможности впоследствии точно воспроизвести запись. Исключения foreseen для части семейных, завещательных и иных статутных актов. Инфраструктура доверия — рыночная, а не единая государственная система квалифицированных УЦ.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Вывод: США — наиболее далёкая от РФ философия. Перенос «американской нейтральности» в российский B2G разрушил бы опору на аккредитованные УЦ и защиту слабой стороны.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1.3.3. Гибридные и переходные режимы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Сингапур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сочетает нейтральность ETA с презумпциями *secure electronic signature* и режимом MLETR: это эталон «торгового» ЭДО.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Китай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использует договорную основу плюс критерии «надёжной» подписи, лицензирование провайдеров сертификации, явный список исключений и с 2025–2026 гг. — отдельный слой электронных транспортных документов.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Великобритания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после Brexit сохранила логику SES/AES/QES в UK-праве, но утратила автоматическое взаимное признание с ЕС. Параллельно приняты ETDA 2023 и статутный DVS Trust Framework 1.0 (не ранее 01.09.2026) — более «рыночная» рамка цифровой верификации, нежели обязательный государственный кошелёк.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1.3.4. PKI-центричная модель и контур ЕАЭС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Закон Республики Казахстан от 07.01.2003 № 370 закрепляет электронный документ и ЭЦП в логике удостоверяющих центров. Трансграничный мост — доверенная третья сторона (ДТС). Решение Коллегии ЕЭК от 22.08.2023 № 120 устанавливает правила признания ЭП/ЭЦП при взаимодействии хозяйствующих субъектов с органами государств‑членов и ЕЭК с использованием ДТС (в силе с 23.09.2023).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Важно ограничение: Решение № 120 закрывает прежде всего B2G, а не весь частный B2B между компаниями разных стран Союза. Для РФ это ближайший интеграционный контур, а не универсальное взаимное признание «как в ЕС».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30"/>
        </w:rPr>
        <w:t>§ 1.4. Инфраструктура доверия и цифровая идентичность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1.4.1. Удостоверяющие центры, QTSP и рыночные провайдеры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модели ЕС доверие институционализировано через квалификацию и надзор QTSP, публичные trusted lists. В модели США доверие строится договором, репутацией провайдера и отраслевыми требованиями. В ЕАЭС/РК — через УЦ и ДТС. РФ ближе к первой и третьей схемам: аккредитованные УЦ, отраслевые операторы ЭДО, УЦ ФНС.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1.4.2. Печать, метка времени, зарегистрированная доставка, архивирование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eIDAS делает видимыми инструменты, которые в российской практике часто «растворены» в договоре с оператором: квалифицированная метка времени, registered electronic delivery, квалифицированное электронное архивирование. Для споров о получении уведомления и о неизменности журнала ОТ эти институты важнее названия вида подписи.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1.4.3. EUDI Wallet и британский DVS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Европейский кошелёк идентичности — обязательный инфраструктурный проект государств‑членов. Британский DVS Trust Framework — добровольная сертификация сервисов цифровой верификации. Для РФ полезен не сам «кошелёк», а идея отдельного контура подтверждения личности/атрибутов рядом с УЦ подписи, без немедленного обязательного внедрения.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30"/>
        </w:rPr>
        <w:t>§ 1.5. Доказывание юридической силы электронной записи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1.5.1. Согласие и воспроизводимость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Даже в либеральной модели США согласие на электронную форму и способность впоследствии воспроизвести запись — центральные условия. В кадровом и охранительном контексте это означает: работник должен иметь доступ к своей записи; работодатель — хранить её в неизменном и предъявляемом виде.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1.5.2. Целостность, audit trail и презумпции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Квалифицированная подпись (ЕС) и secure signature (Сингапур) создают разные по технике, но сходные по смыслу презумпции аутентичности и целостности. Для охраны труда практический минимум доказательств: кто совершил действие, когда, по какой программе/инструкции, каков результат проверки, неизменен ли лог.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1.5.3. Исключения электронной формы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Китай прямо перечисляет семейные, наследственные и некоторые иные акты. США делают то же через ESIGN/UETA. ЕС не запрещает электронную форму журналов ОТ на уровне Союза. РФ использует иной приём: общее разрешение КЭДО плюс точечные исключения в ч. 3 ст. 22.1 ТК РФ, включая инструктажи по ОТ и акты НС.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30"/>
        </w:rPr>
        <w:t>§ 1.6. Трансграничное признание электронных подписей и документов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1.6.1. Автоматическое взаимное признание внутри ЕС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QES одного государства‑члена признаётся во всех остальных. Это самый сильный из существующих режимов трансграничности.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1.6.2. Эквивалентность, взаимность и договор сторон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Вне интеграционных союзов признание строится через соглашение сторон, оценку эквивалентности или административное одобрение (китайская модель взаимности).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1.6.3. ДТС в ЕАЭС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ДТС «переводит» доверие между национальными PKI. Для работодателя это означает: иностранная ЭЦП сама по себе может быть недостаточна; нужна инфраструктурная проверка. ФЗ от 04.08.2026 № 315‑ФЗ закрывает другой сюжет — УКЭП международных организаций внутри РФ через УЦ ФНС — и не заменяет ДТС для казахстанской или белорусской ЭЦП.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30"/>
        </w:rPr>
        <w:t>§ 1.7. Промежуточные выводы главы 1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1. Мировой стандарт — недискриминация электронной формы.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2. Две крупные модели — иерархия подписей/услуги доверия (ЕС; близко РФ и ЕАЭС) и технологическая нейтральность (США; частично Сингапур).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3. «ЭДО как отрасль операторов» в иностранных законах обычно не назван; регулируются запись, подпись, идентичность, архив и трансграничность.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4. Правило перехода к охране труда: если специальный акт не требует бумажной собственноручной подписи и обеспечены идентификация, целостность и воспроизводимость, электронная фиксация процессов ОТ правомерно выводится из общей рамки ЭДО.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5. Именно поэтому глава 2 должна строиться по процессам ОТ, а не по пересказу eIDAS.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32"/>
        </w:rPr>
        <w:t>ГЛАВА 2. ЗАРУБЕЖНЫЙ ОПЫТ ПРИМЕНЕНИЯ ЭДО В ОХРАНЕ ТРУДА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30"/>
        </w:rPr>
        <w:t>§ 2.1. Предмет и границы «ЭДО в охране труда»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2.1.1. Почему специального «закона об ЭДО в ОТ» почти нигде нет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Охрана труда требует доказать факт информирования, обучения, оценки риска, допуска, расследования. Право отвечает на это через обязанности по существу (обучить, оценить риск, расследовать) и через требования к записи. Формат записи — бумага или электронный файл — вторичен, пока сохраняются идентификация и возможность контроля. Поэтому зарубежные системы редко пишут: «журнал инструктажа может быть электронным». Чаще они молчаливо допускают электронную запись, а регулятор разъясняет приемлемость.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2.1.2. Перечень процессов, где электронная запись юридически значима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инструктажи и обучение (журналы, протоколы, сертификаты, проверка знания);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оценка профессиональных рисков (risk assessment);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наряд-допуск / permit-to-work;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ознакомление с локальными нормативными актами по ОТ;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учёт травматизма и отчётность регулятору;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взаимодействие с инспекцией (предъявление записей по запросу).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2.1.3. Соотношение общего ЭДО, трудового права и правил OSH/WSH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Схема всегда трёхслойная: (1) общий закон об ЭП/электронных записях даёт силу форме; (2) закон об ОТ/занятости задаёт обязанность по содержанию; (3) гайды инспекции объясняют, какая запись считается достаточной. Ошибка анализа — искать только слой (3) или только слой (1).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30"/>
        </w:rPr>
        <w:t>§ 2.2. Инструктажи и обучение по охране труда в электронной форме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2.2.1. Европейский союз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Рамочная Директива 89/391/EEC обязывает работодателя оценивать риски, информировать и обучать работников, вести документацию по мерам профилактики. Общесоюзной «бумажной формы журнала инструктажа» нет. Юридическая сила электронных подписей определяется eIDAS. На практике государства‑члены допускают цифровые OSH-системы (электронные risk assessment, LMS, электронные журналы ознакомления), если обеспечены идентификация, целостность и доступность для контроля. EU‑OSHA продвигает цифровые инструменты оценки рисков (OiRA): акцент на содержании и участии работников, а не на рукописной росписи.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2.2.2. США: позиция OSHA по electronic training records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OSHA в разъяснениях 1997 и 2000 гг. прямо допустила электронный учёт обязательного safety training и использование electronic signature pad. Во многих стандартах ключевым доказательством является certification record работодателя/тренера, а не обязательная роспись каждого работника в «журнале» российского типа. Запись должна сохранять целостность и быть доступна на инспекции без задержки.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Это не означает отказ от обучения по существу. Это означает иной центр тяжести доказывания: сертификация факта обучения и сохранность данных важнее «мокрой» подписи в графе журнала.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2.2.3. Сингапур: Training Records System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системе Workplace Safety and Health ключевой цифровой контур — Training Records System (TRS). Провайдеры загружают записи MOM‑recognised WSH training; работодатели через Corppass проверяют подлинность обучения работников онлайн, включая migrant workers. Это государственный/регуляторный реестр, а не только внутренний журнал работодателя. Для high‑risk секторов (строительство, shipyard, metalworking) проверка обучения становится условием допуска.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2.2.4. Казахстан: прямая спецнорма об электронном журнале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Правила обучения, инструктирования и проверки знаний по безопасности и охране труда (приказ МЗСР РК № 1019 с изменениями) прямо допускают электронную форму. Журнал регистрации инструктажа на рабочем месте может вестись на бумаге или в электронном виде с учётом законодательства об электронном документе и ЭЦП; при электронном ведении сведения удостоверяются ЭЦП. Протокол проверки знаний также может быть электронным документом с ЭЦП членов комиссии.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Это ближайший к РФ постсоветский пример, где электронный журнал инструктажа легализован явно, а не выведен толкованием общего закона.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2.2.5. Китай и Великобритания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КНР Work Safety Law требует обучения и документации по безопасности; сила электронных записей опирается на Закон об электронной подписи («надёжная» ЭП ≈ собственноручная/печать). Крупные предприятия используют electronic safety training и electronic work permits.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Великобритании HSE придерживается goal‑setting: важны suitable and sufficient risk assessment, информирование и компетентность, а не единый федеральный бумажный журнал. Электронные РА, LMS и e‑sign ознакомления — обычная практика; сила ЭП — через UK eIDAS / ECA 2000.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30"/>
        </w:rPr>
        <w:t>§ 2.3. Оценка профессиональных рисков и электронные наряды-допуски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2.3.1. Risk assessment как ядро документации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ЕС и UK оценка рисков — центральный документ системы ОТ. Management of Health and Safety at Work Regulations 1999 (reg. 3) требует suitable and sufficient assessment; при 5 и более работниках — запись существенных результатов. Формат записи закон жёстко не фетишизирует.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2.3.2. Electronic permit-to-work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Индустриальная практика UK и ряда транснациональных компаний использует электронные наряды-допуски с маршрутизацией согласований, ЭП ответственных лиц и блокировкой допуска при отсутствии действующего обучения/медосмотра. Юридически это опирается на общую обязанность обеспечивать безопасную систему работы, а не на специальный «закон об e‑PTW».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2.3.3. Цифровые шаблоны ОПР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Инструменты типа OiRA показывают, что государство может поддерживать качество оценки рисков через цифровые шаблоны, не сводя контроль к проверке наличия рукописной подписи.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30"/>
        </w:rPr>
        <w:t>§ 2.4. Ознакомление работника с локальными актами и требованиями по ОТ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2.4.1. Electronic acknowledgement vs собственноручная подпись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Электронное подтверждение ознакомления допустимо там, где закон не требует бумажной формы и где идентификация работника надёжна. В системах с eIDAS/ESIGN/ETA это обычно общий режим.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2.4.2. Риск «клика вместо ознакомления»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Главный практический риск цифровизации — фиктивное ознакомление. Зарубежные зрелые системы отвечают не запретом электроники, а требованиями к идентификации, времени действия, содержанию инструкции и, при необходимости, проверке усвоения. Электронная форма должна усиливать доказываемость, а не упрощать формальность до клика.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30"/>
        </w:rPr>
        <w:t>§ 2.5. Учёт травматизма, расследование НС и отчётность регулятору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2.5.1. США: 29 CFR Part 1904 и Injury Tracking Application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OSHA требует вести учёт травм и заболеваний; многие работодатели ежегодно подают данные Forms 300/300A/301 через Injury Tracking Application. Электронная подпись допустима для сертификации Form 300‑A, но Annual Summary всё равно должен быть распечатан и вывешен на рабочем месте в установленные сроки. Это пример гибрида: digital reporting + физический posting.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2.5.2. Великобритания: RIDDOR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Обязательные сообщения о некоторых травмах и опасных происшествиях подаются в электронном контуре HSE. Снова акцент на своевременности и полноте сведения, а не на бумажном бланке как самоцели.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2.5.3. Электронный учёт ≠ отмена расследования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Критическое различение для любой правовой системы: машиночитаемая отчётность и журнал учёта не заменяют полноценного расследования несчастного случая. Цифровизация может обслуживать аналитику и профилактику, но процессуальный статус акта расследования требует отдельных гарантий.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30"/>
        </w:rPr>
        <w:t>§ 2.6. Доказывание перед инспекцией и судом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2.6.1. Sufficient / reliable electronic record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Сводный зарубежный стандарт достаточной электронной записи ОТ включает: идентификатор работника и инструктирующего/ответственного; дату и время; вид мероприятия и программу/инструкцию; результат проверки знания (если применимо); неизменяемость или защищённый audit trail; возможность предъявить запись инспектору без задержки.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2.6.2. Audit trail, сроки хранения, доступность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OSHA и HSE ожидают, что электронный архив не хуже бумаги по доступности. Потеря логов, отсутствие резервного копирования, невозможность показать историю изменений — типичные основания обесценить электронную запись.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2.6.3. Типичные дефекты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подпись «за другого» / общий логин;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отсутствие связи записи с конкретной программой инструктажа;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клик без идентификации;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ведение «электронно у себя» и печать бумаги с дорисованными подписями для инспектора;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утрата данных при смене подрядчика LMS.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30"/>
        </w:rPr>
        <w:t>§ 2.7. Промежуточные выводы главы 2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1. Специального общемирового «закона об ЭДО в ОТ» нет; действует связка общего ЭДО и отраслевых обязанностей.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2. Электронная фиксация инструктажей/обучения прямо признана или фактически допущена в США, Казахстане, ЕС/UK; Сингапур добавил государственный сервис проверки.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3. Оценка рисков и permit-to-work цифровизируются через требование достаточности мер, а не через культ бумажного журнала.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4. Отчётность по травмам может быть digital-first, но расследование НС сохраняет отдельный процессуальный вес.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5. Для сравнения с РФ решающий контраст — не «есть ли компьютеры», а есть ли правовой запрет на электронное подтверждение инструктажа.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32"/>
        </w:rPr>
        <w:t>ГЛАВА 3. СРАВНЕНИЕ ЗАРУБЕЖНОГО РЕГУЛИРОВАНИЯ И ОПЫТА С РОССИЙСКОЙ ПРАКТИКОЙ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30"/>
        </w:rPr>
        <w:t>§ 3.1. Российская правовая рамка ЭДО как линия сравнения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3.1.1. ФЗ № 63‑ФЗ: ПЭП, УНЭП, УКЭП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Федеральный закон от 06.04.2011 </w:t>
      </w:r>
      <w:hyperlink r:id="rId11">
        <w:r>
          <w:rPr>
            <w:color w:val="0563C1"/>
            <w:u w:val="single"/>
            <w:sz w:val="28"/>
            <w:rFonts w:ascii="Times New Roman" w:hAnsi="Times New Roman"/>
          </w:rPr>
          <w:t xml:space="preserve">№ 63‑ФЗ</w:t>
        </w:r>
      </w:hyperlink>
      <w:r>
        <w:rPr>
          <w:rFonts w:ascii="Times New Roman" w:hAnsi="Times New Roman" w:eastAsia="Times New Roman"/>
          <w:b w:val="0"/>
          <w:i w:val="0"/>
          <w:sz w:val="28"/>
        </w:rPr>
        <w:t xml:space="preserve"> задаёт иерархию электронных подписей, близкую </w:t>
      </w:r>
      <w:hyperlink r:id="rId12">
        <w:r>
          <w:rPr>
            <w:color w:val="0563C1"/>
            <w:u w:val="single"/>
            <w:sz w:val="28"/>
            <w:rFonts w:ascii="Times New Roman" w:hAnsi="Times New Roman"/>
          </w:rPr>
          <w:t xml:space="preserve">eIDAS</w:t>
        </w:r>
      </w:hyperlink>
      <w:r>
        <w:rPr>
          <w:rFonts w:ascii="Times New Roman" w:hAnsi="Times New Roman" w:eastAsia="Times New Roman"/>
          <w:b w:val="0"/>
          <w:i w:val="0"/>
          <w:sz w:val="28"/>
        </w:rPr>
        <w:t>. УКЭП при соблюдении условий закона признаётся равнозначной собственноручной. Инфраструктура — аккредитованные удостоверяющие центры.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3.1.2. Кадровый ЭДО: ст. 22.1–22.3 ТК РФ</w:t>
      </w:r>
    </w:p>
    <w:p>
      <w:pPr>
        <w:spacing w:line="360" w:lineRule="auto"/>
        <w:ind w:firstLine="709"/>
      </w:pPr>
      <w:hyperlink r:id="rId9">
        <w:r>
          <w:rPr>
            <w:color w:val="0563C1"/>
            <w:u w:val="single"/>
            <w:sz w:val="28"/>
            <w:rFonts w:ascii="Times New Roman" w:hAnsi="Times New Roman"/>
          </w:rPr>
          <w:t xml:space="preserve">ТК РФ</w:t>
        </w:r>
      </w:hyperlink>
      <w:r>
        <w:rPr>
          <w:rFonts w:ascii="Times New Roman" w:hAnsi="Times New Roman" w:eastAsia="Times New Roman"/>
          <w:b w:val="0"/>
          <w:i w:val="0"/>
          <w:sz w:val="28"/>
        </w:rPr>
        <w:t xml:space="preserve"> создал специальный режим кадрового электронного документооборота: согласие работника, правила применения видов ЭП, взаимодействие сторон. Это более детальная «кадровая оболочка», чем в большинстве зарубежных систем, где кадровые документы часто покрываются общим режимом ЭП плюс согласием.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3.1.3. Обучение по охране труда: ПП РФ № 2464</w:t>
      </w:r>
    </w:p>
    <w:p>
      <w:pPr>
        <w:spacing w:line="360" w:lineRule="auto"/>
        <w:ind w:firstLine="709"/>
      </w:pPr>
      <w:hyperlink r:id="rId10">
        <w:r>
          <w:rPr>
            <w:color w:val="0563C1"/>
            <w:u w:val="single"/>
            <w:sz w:val="28"/>
            <w:rFonts w:ascii="Times New Roman" w:hAnsi="Times New Roman"/>
          </w:rPr>
          <w:t xml:space="preserve">Правила обучения по охране труда</w:t>
        </w:r>
      </w:hyperlink>
      <w:r>
        <w:rPr>
          <w:rFonts w:ascii="Times New Roman" w:hAnsi="Times New Roman" w:eastAsia="Times New Roman"/>
          <w:b w:val="0"/>
          <w:i w:val="0"/>
          <w:sz w:val="28"/>
        </w:rPr>
        <w:t xml:space="preserve"> детализируют виды обучения и инструктажей, программы, протоколы проверки знания, реестры обученных. Часть процессов цифровизируется, включая взаимодействие с государственным контуром. Однако фиксация прохождения инструктажей на местах остаётся связанной с бумажной логикой из‑за исключения в ТК РФ.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3.1.4. Трансграничность</w:t>
      </w:r>
    </w:p>
    <w:p>
      <w:pPr>
        <w:spacing w:line="360" w:lineRule="auto"/>
        <w:ind w:firstLine="709"/>
      </w:pPr>
      <w:hyperlink r:id="rId11">
        <w:r>
          <w:rPr>
            <w:color w:val="0563C1"/>
            <w:u w:val="single"/>
            <w:sz w:val="28"/>
            <w:rFonts w:ascii="Times New Roman" w:hAnsi="Times New Roman"/>
          </w:rPr>
          <w:t xml:space="preserve">Статья 7 63‑ФЗ</w:t>
        </w:r>
      </w:hyperlink>
      <w:r>
        <w:rPr>
          <w:rFonts w:ascii="Times New Roman" w:hAnsi="Times New Roman" w:eastAsia="Times New Roman"/>
          <w:b w:val="0"/>
          <w:i w:val="0"/>
          <w:sz w:val="28"/>
        </w:rPr>
        <w:t xml:space="preserve"> регулирует признание иностранных электронных подписей. В ЕАЭС действует </w:t>
      </w:r>
      <w:hyperlink r:id="rId13">
        <w:r>
          <w:rPr>
            <w:color w:val="0563C1"/>
            <w:u w:val="single"/>
            <w:sz w:val="28"/>
            <w:rFonts w:ascii="Times New Roman" w:hAnsi="Times New Roman"/>
          </w:rPr>
          <w:t xml:space="preserve">Решение № 120 о ДТС</w:t>
        </w:r>
      </w:hyperlink>
      <w:r>
        <w:rPr>
          <w:rFonts w:ascii="Times New Roman" w:hAnsi="Times New Roman" w:eastAsia="Times New Roman"/>
          <w:b w:val="0"/>
          <w:i w:val="0"/>
          <w:sz w:val="28"/>
        </w:rPr>
        <w:t xml:space="preserve">. </w:t>
      </w:r>
      <w:hyperlink r:id="rId14">
        <w:r>
          <w:rPr>
            <w:color w:val="0563C1"/>
            <w:u w:val="single"/>
            <w:sz w:val="28"/>
            <w:rFonts w:ascii="Times New Roman" w:hAnsi="Times New Roman"/>
          </w:rPr>
          <w:t xml:space="preserve">ФЗ от 04.08.2026 № 315‑ФЗ</w:t>
        </w:r>
      </w:hyperlink>
      <w:r>
        <w:rPr>
          <w:rFonts w:ascii="Times New Roman" w:hAnsi="Times New Roman" w:eastAsia="Times New Roman"/>
          <w:b w:val="0"/>
          <w:i w:val="0"/>
          <w:sz w:val="28"/>
        </w:rPr>
        <w:t xml:space="preserve"> устанавливает правила УКЭП для международных организаций и их филиалов/представительств в РФ (сертификат выдаёт УЦ ФНС). Эти нормы усиливают внутренний и интеграционный контуры, но не создают автоматического взаимного признания «как в ЕС».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30"/>
        </w:rPr>
        <w:t>§ 3.2. Точки сходства российской и зарубежной моделей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3.2.1. Недискриминация электронной формы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И РФ, и рассмотренные юрисдикции исходят из того, что электронный документ не отвергается только из‑за электронной формы — при соблюдении условий закона.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3.2.2. Близость иерархии подписи РФ к модели ЕС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ПЭП/УНЭП/УКЭП функционально сопоставимы с SES/AES/QES. По этому параметру РФ ближе к ЕС, чем к США.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3.2.3. Наличие аккредитованной инфраструктуры доверия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Российские аккредитованные УЦ и европейские QTSP — институты одного семейства. США здесь — исключение.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30"/>
        </w:rPr>
        <w:t>§ 3.3. Ключевые расхождения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3.3.1. Исключение инструктажей по ОТ и актов НС из КЭДО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Центральный сравнительно-правовой факт: </w:t>
      </w:r>
      <w:hyperlink r:id="rId9">
        <w:r>
          <w:rPr>
            <w:color w:val="0563C1"/>
            <w:u w:val="single"/>
            <w:sz w:val="28"/>
            <w:rFonts w:ascii="Times New Roman" w:hAnsi="Times New Roman"/>
          </w:rPr>
          <w:t xml:space="preserve">ч. 3 ст. 22.1 ТК РФ</w:t>
        </w:r>
      </w:hyperlink>
      <w:r>
        <w:rPr>
          <w:rFonts w:ascii="Times New Roman" w:hAnsi="Times New Roman" w:eastAsia="Times New Roman"/>
          <w:b w:val="0"/>
          <w:i w:val="0"/>
          <w:sz w:val="28"/>
        </w:rPr>
        <w:t xml:space="preserve"> прямо исключает из кадрового ЭДО документы, подтверждающие прохождение инструктажей по охране труда (в том числе лично подписываемые работником), а также акты о несчастном случае на производстве.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 ядре выбранных юрисдикций аналогичного общесистемного запрета нет. США прямо допускают </w:t>
      </w:r>
      <w:hyperlink r:id="rId15">
        <w:r>
          <w:rPr>
            <w:color w:val="0563C1"/>
            <w:u w:val="single"/>
            <w:sz w:val="28"/>
            <w:rFonts w:ascii="Times New Roman" w:hAnsi="Times New Roman"/>
          </w:rPr>
          <w:t xml:space="preserve">electronic training records</w:t>
        </w:r>
      </w:hyperlink>
      <w:r>
        <w:rPr>
          <w:rFonts w:ascii="Times New Roman" w:hAnsi="Times New Roman" w:eastAsia="Times New Roman"/>
          <w:b w:val="0"/>
          <w:i w:val="0"/>
          <w:sz w:val="28"/>
        </w:rPr>
        <w:t>; Казахстан прямо разрешает электронный журнал инструктажа с ЭЦП (</w:t>
      </w:r>
      <w:hyperlink r:id="rId16">
        <w:r>
          <w:rPr>
            <w:color w:val="0563C1"/>
            <w:u w:val="single"/>
            <w:sz w:val="28"/>
            <w:rFonts w:ascii="Times New Roman" w:hAnsi="Times New Roman"/>
          </w:rPr>
          <w:t xml:space="preserve">закон РК № 370</w:t>
        </w:r>
      </w:hyperlink>
      <w:r>
        <w:rPr>
          <w:rFonts w:ascii="Times New Roman" w:hAnsi="Times New Roman" w:eastAsia="Times New Roman"/>
          <w:b w:val="0"/>
          <w:i w:val="0"/>
          <w:sz w:val="28"/>
        </w:rPr>
        <w:t xml:space="preserve">); ЕС и UK допускают электронную фиксацию через общий режим и требование достаточности записи. РФ, продвинувшись в общем КЭДО и в </w:t>
      </w:r>
      <w:hyperlink r:id="rId10">
        <w:r>
          <w:rPr>
            <w:color w:val="0563C1"/>
            <w:u w:val="single"/>
            <w:sz w:val="28"/>
            <w:rFonts w:ascii="Times New Roman" w:hAnsi="Times New Roman"/>
          </w:rPr>
          <w:t xml:space="preserve">№ 2464</w:t>
        </w:r>
      </w:hyperlink>
      <w:r>
        <w:rPr>
          <w:rFonts w:ascii="Times New Roman" w:hAnsi="Times New Roman" w:eastAsia="Times New Roman"/>
          <w:b w:val="0"/>
          <w:i w:val="0"/>
          <w:sz w:val="28"/>
        </w:rPr>
        <w:t>, сохранила бумажный «замок» именно на ключевых доказательствах ОТ.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Практическое следствие: работодатель может цифровизировать приказы, инструкции и часть ознакомления с ЛНА, но подтверждение инструктажа остаётся в зоне высокого риска претензий ГИТ при попытке заменить личную подпись «чистым» КЭДО.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3.3.2. Формализм журнала vs содержательная достаточность записи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Российский контроль традиционно чувствителен к наличию журнала установленной структуры и собственноручной подписи. UK и частично США смещают акцент на sufficient/reliable record и certification. Оба подхода легитимны, но цифровая трансформация лучше стыкуется со вторым — при условии жёстких реквизитов записи и audit trail.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3.3.3. Отсутствие прямого аналога сервиса проверки обучения (TRS)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РФ есть элементы реестров обученных по № 2464, но нет столь же удобного для работодателя сервиса проверки статуса обучения подрядчика «здесь и сейчас», как Singapore TRS. Для работ повышенной опасности это заметный пробел практики.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3.3.4. Трансграничное признание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ЕС даёт автоматизм внутри Союза. РФ и ЕАЭС идут через ДТС и точечные нормы 63‑ФЗ/315‑ФЗ. Это не недостаток само по себе, но требует доведения квитанций ДТС до понятного судебного доказательства и развития B2B-сценариев, а не только B2G.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30"/>
        </w:rPr>
        <w:t>§ 3.4. Что из зарубежного опыта целесообразно заимствовать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3.4.1. Электронный журнал инструктажа с ЭП (модель Казахстана)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Наиболее релевантный образец для РФ — прямая легализация электронного журнала с удостоверением ЭП инструктирующего и инструктируемого, при сохранении того же содержания инструктажа. Это не ломка системы видов инструктажей № 2464, а смена носителя и способа подписи.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3.4.2. Стандарт реквизитов и audit trail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Зафиксировать минимальные реквизиты электронной записи ОТ: кто, когда, вид мероприятия, программа/инструкция, результат проверки, идентификатор средства подписи, неизменность/лог изменений. Без этого цифровизация породит серую зону.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3.4.3. Сервис проверки обучения до допуска (мотив Сингапура)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Развивать проверяемый электронный статус обучения для подрядчиков и работ повышенной опасности: работодатель и инспектор видят актуальный результат, поддельные протоколы обесцениваются.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3.4.4. Электронные наряды-допуски и шаблоны ОПР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E‑PTW с блокировками допуска и типовые электронные шаблоны оценки профрисков повышают содержательное качество ОТ, не конфликтуя с российской моделью видов работ повышенной опасности.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3.4.5. Квалифицированный архив, метка времени, registered delivery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Институты eIDAS 2.0 усиливают судебную доказываемость целостности и факта получения. Для журналов ОТ и уведомлений работников это практичнее, чем спор о «названии» подписи.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30"/>
        </w:rPr>
        <w:t>§ 3.5. Что не следует механически переносить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3.5.1. Отказ от иерархии ПЭП/УНЭП/УКЭП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Американская абсолютная нейтральность разрушит B2G и предсказуемость для слабой стороны.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3.5.2. Полный отказ от подтверждения работника на инструктаже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Даже если OSHA в ряде стандартов делает акцент на certification работодателя, в российской судебной и дисциплинарной практике волеизъявление работника остаётся критичным. Электронная форма должна сохранять подтверждение обеих сторон записи.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3.5.3. Обязательный кошелёк идентичности до готовности инфраструктуры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EUDI Wallet — долгосрочный европейский проект со своими сроками. Для РФ разумнее пилоты и добровольные сервисы верификации, а не немедленная обязанность.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3.5.4. Перенос MLETR в кадровый/охранительный оборот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Режим электронных передаваемых документов предназначен для товарораспорядительных инструментов, не для журналов инструктажа.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30"/>
        </w:rPr>
        <w:t>§ 3.6. Предложения de lege lata и de lege ferenda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3.6.1. Что можно сделать без изменения ТК РФ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расширять КЭДО для документов ОТ вне исключений ч. 3 ст. 22.1 (приказы, инструкции, ознакомление с ЛНА);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усиливать протоколы проверки знания и реестры по № 2464 в электронном контуре;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внедрять ЛНА о реквизитах электронных записей ОТ и audit trail;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использовать УНЭП/УКЭП для внутренних процессов, не заменяя ими запрещённое «чистое» электронное подтверждение инструктажа до изменения закона.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3.6.2. Какие правки нужны для электронного журнала инструктажа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De lege ferenda целесообразно: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1) уточнить ч. 3 ст. 22.1 ТК РФ так, чтобы исключение не блокировало электронный журнал инструктажа при использовании ЭП работника и представителя работодателя и соблюдении требований к неизменности записи;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либо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2) прямо разрешить в № 2464 электронную форму журналов инструктажей и протоколов с указанием допустимых видов ЭП и обязательных реквизитов;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3) сохранить исключение/особый режим для актов НС либо цифровизировать их отдельным процессуально защищённым контуром, не смешивая с «лёгким» КЭДО.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3.6.3. Направления развития ДТС ЕАЭС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Для практики работодателя полезны: понятный формат квитанции проверки ДТС как судебного доказательства; расширение сценариев B2B; взаимное признание электронных записей обучения/инструктажей при трансграничных работах в Союзе — по мере готовности национальных режимов.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32"/>
        </w:rPr>
        <w:t>ЗАКЛЮЧЕНИЕ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Проведённый анализ позволяет сформулировать следующие выводы.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Первое.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Регулирование ЭДО в иностранных государствах строится вокруг юридической силы электронной записи и подписи, услуг доверия и трансграничного признания. Две базовые модели — европейская иерархия подписей с квалифицированными услугами доверия и американская технологическая нейтральность. Российская система ближе к европейской.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Второе.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Зарубежный опыт применения ЭДО в охране труда почти нигде не оформлен отдельным «законом об ЭДО в ОТ». Электронные записи инструктажей, обучения, оценки рисков и отчётности выводятся из общей рамки ЭДО и обязанностей работодателя по OSH/WSH. Прямые образцы — electronic training records OSHA, Training Records System Сингапура и электронный журнал инструктажа Казахстана.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Третье.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Ключевое расхождение с российской практикой — ч. 3 ст. 22.1 ТК РФ, исключающая из КЭДО подтверждение инструктажей по охране труда и акты о несчастном случае. На фоне зарубежного тренда это делает российский режим более формалистичным именно там, где цифровизация могла бы усилить прослеживаемость допуска к работам.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Четвёртое.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Целесообразные заимствования: легализация электронного журнала инструктажа по модели Казахстана; стандарт реквизитов и audit trail; сервис проверки обучения до допуска; e‑наряды‑допуски и шаблоны ОПР; институты квалифицированного архива и метки времени. Нецелесообразны: отказ от иерархии подписей, устранение подтверждения работника, немедленный обязательный кошелёк идентичности, перенос MLETR в охрану труда.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Пятое.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Практический вектор для РФ — не «отменить бумагу любой ценой», а заменить бумажный формализм доказываемой электронной записью, сохранив содержание инструктажа, обучение по № 2464 и процессуальные гарантии расследования несчастных случаев.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32"/>
        </w:rPr>
        <w:t>СПИСОК ИСПОЛЬЗОВАННЫХ ИСТОЧНИКОВ (ОСНОВНЫЕ)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Международные акты и документы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UNCITRAL Model Law on Electronic Commerce (1996). https://uncitral.un.org/en/texts/ecommerce/modellaw/electronic_commerce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UNCITRAL Model Law on Electronic Signatures (2001). https://uncitral.un.org/en/texts/ecommerce/modellaw/electronic_signatures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United Nations Convention on the Use of Electronic Communications in International Contracts (2005). https://uncitral.un.org/en/texts/ecommerce/conventions/electronic_communications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UNCITRAL Model Law on Electronic Transferable Records (2017) and Status. https://uncitral.un.org/en/texts/ecommerce/modellaw/electronic_transferable_records/status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Европейский союз и Великобритания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Regulation (EU) No 910/2014 (eIDAS). https://eur-lex.europa.eu/legal-content/EN/TXT/?uri=CELEX:32014R0910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Regulation (EU) 2024/1183 (eIDAS 2.0). https://eur-lex.europa.eu/legal-content/EN/TXT/?uri=CELEX:32024R1183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Directive 89/391/EEC (OSH Framework Directive). https://eur-lex.europa.eu/legal-content/EN/TXT/?uri=CELEX:01989L0391-20081211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Electronic Communications Act 2000, s.7. https://www.legislation.gov.uk/ukpga/2000/7/section/7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Electronic Trade Documents Act 2023. https://www.legislation.gov.uk/ukpga/2023/38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Management of Health and Safety at Work Regulations 1999, reg. 3. https://www.legislation.gov.uk/uksi/1999/3242/regulation/3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UK DVS trust framework 1.0. https://www.gov.uk/government/publications/uk-digital-verification-services-trust-framework-1-0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США, Сингапур, Китай, Казахстан / ЕАЭС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ESIGN Act, 15 U.S.C. Chapter 96. https://www.law.cornell.edu/uscode/text/15/chapter-96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OSHA LOI 14.08.1997 — electronic training records. https://www.osha.gov/laws-regs/standardinterpretations/1997-08-14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29 CFR Part 1904. https://www.osha.gov/laws-regs/regulations/standardnumber/1904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Singapore Electronic Transactions Act 2010. https://sso.agc.gov.sg/Act/ETA2010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MOM — Check WSH training records (TRS). https://www.mom.gov.sg/eservices/services/check-worker-training-records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Electronic Signature Law of the PRC (WIPO Lex). https://www.wipo.int/wipolex/en/legislation/details/6563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Закон РК от 07.01.2003 № 370. https://adilet.zan.kz/rus/docs/Z030000370_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Правила обучения/инструктирования ОТ РК (приказ № 1019; обзор/текст). https://zakon.mybuh.kz/rus/docs/v1500012665/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Решение Коллегии ЕЭК от 22.08.2023 № 120. https://docs.eaeunion.org/documents/414/7596/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Российская Федерация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Федеральный закон от 06.04.2011 № 63‑ФЗ «Об электронной подписи». https://www.consultant.ru/document/cons_doc_LAW_112701/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Трудовой кодекс РФ, ст. 22.1–22.3. https://www.consultant.ru/document/cons_doc_LAW_34683/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Постановление Правительства РФ от 24.12.2021 № 2464. https://www.consultant.ru/document/cons_doc_LAW_405416/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Федеральный закон от 04.08.2026 № 315‑ФЗ (изменения в закон об электронной подписи). http://kremlin.ru/acts/news/80444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32"/>
        </w:rPr>
        <w:t>ПРИЛОЖЕНИЯ (перечень)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1. Матрица A — ЭДО в целом (`Матрица_НИР_ЭДО_заполненная.xlsx`, лист A).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2. Матрица B — ЭДО в охране труда (лист B).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3. Матрица C — сравнение с РФ (лист C).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4. Страновые карточки ЭДО в целом (`edo_by_country/`).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5. Страновые карточки ЭДО в ОТ (`edo_ot_by_country/` на ветке анализа ОТ / архив).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6. Оглавление с аннотациями параграфов (`Оглавление_НИР_ЭДО_с_параграфами.docx`).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*Черновик подготовлен как рабочий текст НИР. Перед защитой/сдачей сверить актуальные редакции иностранных актов по официальным публикациям и оформить ссылки по ГОСТ Р 7.0.5.*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nsultant.ru/document/cons_doc_LAW_34683/" TargetMode="External"/><Relationship Id="rId10" Type="http://schemas.openxmlformats.org/officeDocument/2006/relationships/hyperlink" Target="https://www.consultant.ru/document/cons_doc_LAW_405146/" TargetMode="External"/><Relationship Id="rId11" Type="http://schemas.openxmlformats.org/officeDocument/2006/relationships/hyperlink" Target="https://www.consultant.ru/document/cons_doc_LAW_112701/" TargetMode="External"/><Relationship Id="rId12" Type="http://schemas.openxmlformats.org/officeDocument/2006/relationships/hyperlink" Target="https://eur-lex.europa.eu/legal-content/EN/TXT/?uri=CELEX:32014R0910" TargetMode="External"/><Relationship Id="rId13" Type="http://schemas.openxmlformats.org/officeDocument/2006/relationships/hyperlink" Target="https://docs.eaeunion.org/documents/414/7596/" TargetMode="External"/><Relationship Id="rId14" Type="http://schemas.openxmlformats.org/officeDocument/2006/relationships/hyperlink" Target="http://kremlin.ru/acts/news/80444" TargetMode="External"/><Relationship Id="rId15" Type="http://schemas.openxmlformats.org/officeDocument/2006/relationships/hyperlink" Target="https://www.osha.gov/laws-regs/standardinterpretations/1997-08-14" TargetMode="External"/><Relationship Id="rId16" Type="http://schemas.openxmlformats.org/officeDocument/2006/relationships/hyperlink" Target="https://adilet.zan.kz/rus/docs/Z030000370_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