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ЭДО в Сингапуре (Electronic Transactions Act)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Сравнительный обзор с Российской Федерацией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i w:val="0"/>
          <w:sz w:val="24"/>
        </w:rPr>
        <w:t>Основные акты: Electronic Transactions Act 2010 (поправки 2021 — MLETR); Конвенция ООН 2005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Основной акт — Electronic Transactions Act 2010 (ETA). Закон реализует Конвенцию ООН 2005 об электронных сообщениях в международных договорах и с поправками 2021 — Типовой закон UNCITRAL об электронных передаваемых записях (MLETR).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Признаются электронные записи и подписи. Стороны могут исключить электронную форму соглашением или установить дополнительные требования к аутентификации.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Введено понятие secure electronic signature: при соблюдении критериев (уникальность, идентификация, контроль средства, связь с записью) действуют презумпции аутентичности и целостности.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После 2021 Сингапур — один из первых крупных торговых хабов с полноценным режимом электронных передаваемых документов, включая электронные коносаменты (e‑B/L).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По статусу UNCITRAL на 2026 г. законодательство на базе или под влиянием MLETR принято уже в 13 юрисдикциях; Сингапур остаётся ориентиром по качеству имплементации.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Сочетание технологической нейтральности и «secure»‑презумпций.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Прямая ориентация на международную торговлю и MLETR.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Добровольность электронной формы + право сторон ужесточить требования.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Фокус на transferable records (товарораспорядительные документы), а не только на договорах и счетах.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ФЗ от 04.08.2026 № 315‑ФЗ (УКЭП международных организаций)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6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 (ДТС ЕАЭС)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Источники по РФ (для сверки):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06.04.2011 № 63‑ФЗ «Об электронной подписи»: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ТК РФ, ст. 22.1–22.3 (кадровый ЭДО):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04.08.2026 № 315‑ФЗ (УКЭП международных организаций):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Решение Коллегии ЕЭК от 22.08.2023 № 120 (ДТС ЕАЭС):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Сингапур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Российская Федерация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Юридическая сила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Электронные записи и подписи признаются; стороны могут исключить электронную форму соглашением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Singapore Electronic Transactions Act 2010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Модель подписи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Электронная подпись + secure electronic signature с презумпциями аутентичности и целостности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ПЭП / УНЭП / УКЭП</w:t>
            </w:r>
          </w:p>
        </w:tc>
        <w:tc>
          <w:tcPr>
            <w:tcW w:type="dxa" w:w="2381"/>
          </w:tcPr>
          <w:p>
            <w:r/>
            <w:hyperlink r:id="rId1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ФЗ от 06.04.2011 № 63‑ФЗ «Об электронной подписи»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Инфраструктура доверия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Критерии надёжности / commercially reasonable procedures; цифровая подпись на асимметричной криптографии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Аккредитованные УЦ, операторы ЭДО, УЦ ФНС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Singapore Electronic Transactions Act 2010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Трансграничность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Имплементация Конвенции 2005; MLETR — иностранные электронные передаваемые записи не отвергаются только из‑за места выпуска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Ст. 7 63‑ФЗ, договоры сторон, ДТС ЕАЭС; 315‑ФЗ — УКЭП международных организаций</w:t>
            </w:r>
          </w:p>
        </w:tc>
        <w:tc>
          <w:tcPr>
            <w:tcW w:type="dxa" w:w="2381"/>
          </w:tcPr>
          <w:p>
            <w:r/>
            <w:hyperlink r:id="rId1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Ст. 7 63‑ФЗ — признание иностранных электронных подписей</w:t>
              </w:r>
            </w:hyperlink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 РФ: оба правопорядка признают ЭП и электронные записи; в РФ сильнее детализированы виды ЭП и операторский ЭДО.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Сингапур опережает РФ в режиме электронных передаваемых документов; в РФ этот блок пока фрагментарен.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Презумпции secure signature близки по смыслу к усиленной/квалифицированной подписи, но сформулированы через критерии надёжности, а не через аккредитацию УЦ.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Стороны в Сингапуре могут договором исключить электронную форму — в РФ для ряда документов электронная форма, наоборот, обязательна (счета‑фактуры).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Режим электронных передаваемых записей для внешней торговли и логистики (электронные коносаменты и аналоги) по мотивам MLETR/ETA.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Явные презумпции аутентичности и целостности для согласованных «secure»‑процедур УНЭП — без требования УКЭП там, где риск невелик.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Право сторон договором установить более строгую аутентификацию, чем минимум закона.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Переносить MLETR в кадровый ЭДО — это режим товарораспорядительных документов, не трудовых.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Отказаться от аккредитации УЦ только потому, что Сингапур формулирует «secure» через критерии: в РФ B2G без УКЭП не взлетит.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Singapore Electronic Transactions Act 2010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UNCITRAL MLETR 2017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Статус имплементации MLETR (UNCITRAL)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Конвенция ООН 2005 об электронных сообщениях в международных договорах</w:t>
        </w:r>
      </w:hyperlink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Singapore Electronic Transactions Act 2010: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https://sso.agc.gov.sg/Act/ETA2010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UNCITRAL MLETR 2017: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https://uncitral.un.org/en/texts/ecommerce/modellaw/electronic_transferable_records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Статус имплементации MLETR (UNCITRAL):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https://uncitral.un.org/en/texts/ecommerce/modellaw/electronic_transferable_records/status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Конвенция ООН 2005 об электронных сообщениях в международных договорах: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https://uncitral.un.org/en/texts/ecommerce/conventions/electronic_communications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so.agc.gov.sg/Act/ETA2010" TargetMode="External"/><Relationship Id="rId10" Type="http://schemas.openxmlformats.org/officeDocument/2006/relationships/hyperlink" Target="https://uncitral.un.org/en/texts/ecommerce/modellaw/electronic_transferable_records" TargetMode="External"/><Relationship Id="rId11" Type="http://schemas.openxmlformats.org/officeDocument/2006/relationships/hyperlink" Target="https://uncitral.un.org/en/texts/ecommerce/modellaw/electronic_transferable_records/status" TargetMode="External"/><Relationship Id="rId12" Type="http://schemas.openxmlformats.org/officeDocument/2006/relationships/hyperlink" Target="https://uncitral.un.org/en/texts/ecommerce/conventions/electronic_communications" TargetMode="External"/><Relationship Id="rId13" Type="http://schemas.openxmlformats.org/officeDocument/2006/relationships/hyperlink" Target="https://www.consultant.ru/document/cons_doc_LAW_112701/" TargetMode="External"/><Relationship Id="rId14" Type="http://schemas.openxmlformats.org/officeDocument/2006/relationships/hyperlink" Target="https://www.consultant.ru/document/cons_doc_LAW_34683/" TargetMode="External"/><Relationship Id="rId15" Type="http://schemas.openxmlformats.org/officeDocument/2006/relationships/hyperlink" Target="http://kremlin.ru/acts/news/80444" TargetMode="External"/><Relationship Id="rId16" Type="http://schemas.openxmlformats.org/officeDocument/2006/relationships/hyperlink" Target="https://docs.eaeunion.org/documents/414/759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