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i w:val="0"/>
          <w:color w:val="1F4E79"/>
          <w:sz w:val="44"/>
        </w:rPr>
        <w:t>ЭДО в Германия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535353"/>
          <w:sz w:val="26"/>
        </w:rPr>
        <w:t>Электронный документооборот в целом. Сравнение с Российской Федерацией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spacing w:after="240"/>
      </w:pPr>
      <w:r>
        <w:rPr>
          <w:rFonts w:ascii="Calibri" w:hAnsi="Calibri" w:eastAsia="Calibri"/>
          <w:b w:val="0"/>
          <w:i/>
          <w:color w:val="535353"/>
          <w:sz w:val="20"/>
        </w:rPr>
        <w:t>Как проверить. После каждого блока фактов — строка «Проверить» с кликабельной ссылкой на официальный текст закона, судебное решение или первоисточник. Рекомендации («что добавить / не переносить») — выводы автора НИР, но рядом указаны нормы, на которые они опираются. Номера дел не вымышлены.</w:t>
      </w:r>
    </w:p>
    <w:p>
      <w:pPr>
        <w:pStyle w:val="Heading1"/>
      </w:pPr>
      <w:r>
        <w:t>1. Краткий обзор регулирования ЭДО</w:t>
      </w:r>
    </w:p>
    <w:p>
      <w:r>
        <w:rPr>
          <w:rFonts w:ascii="Calibri" w:hAnsi="Calibri" w:eastAsia="Calibri"/>
          <w:b w:val="0"/>
          <w:i w:val="0"/>
          <w:sz w:val="24"/>
        </w:rPr>
        <w:t>Основные акты: Регламент (EU) 910/2014 (eIDAS); Vertrauensdienstegesetz (VDG, 2017); BGB §§ 126, 126a, 126b; Viertes Bürokratieentlastungsgesetz (BEG IV, с 01.01.2025)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eIDAS (EU) 910/2014, EUR-Lex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VDG (gesetze-im-internet)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BGB § 126a — электронная форма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BGB § 126b — текстовая форма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BGB § 623 — расторжение трудового договора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4">
        <w:r>
          <w:rPr>
            <w:color w:val="0563C1"/>
            <w:u w:val="single"/>
            <w:sz w:val="18"/>
            <w:rFonts w:ascii="Calibri" w:hAnsi="Calibri"/>
          </w:rPr>
          <w:t xml:space="preserve">BGH VIII ZR 155/23 (27.11.2024), PDF суда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5">
        <w:r>
          <w:rPr>
            <w:color w:val="0563C1"/>
            <w:u w:val="single"/>
            <w:sz w:val="18"/>
            <w:rFonts w:ascii="Calibri" w:hAnsi="Calibri"/>
          </w:rPr>
          <w:t xml:space="preserve">BEG IV / трудовое право с 01.01.2025 (обзор)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Германия применяет eIDAS напрямую. Национальный слой — Закон об услугах доверия (VDG, 2017) и гражданско‑правовые формы BGB: письменная (§ 126), электронная (§ 126a, квалифицированная ЭП), текстовая (§ 126b).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eIDAS (EU) 910/2014, EUR-Lex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VDG (gesetze-im-internet)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BGB § 126a — электронная форма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BGB § 126b — текстовая форма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BGB § 623 — расторжение трудового договора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4">
        <w:r>
          <w:rPr>
            <w:color w:val="0563C1"/>
            <w:u w:val="single"/>
            <w:sz w:val="18"/>
            <w:rFonts w:ascii="Calibri" w:hAnsi="Calibri"/>
          </w:rPr>
          <w:t xml:space="preserve">BGH VIII ZR 155/23 (27.11.2024), PDF суда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5">
        <w:r>
          <w:rPr>
            <w:color w:val="0563C1"/>
            <w:u w:val="single"/>
            <w:sz w:val="18"/>
            <w:rFonts w:ascii="Calibri" w:hAnsi="Calibri"/>
          </w:rPr>
          <w:t xml:space="preserve">BEG IV / трудовое право с 01.01.2025 (обзор)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Квалифицированная электронная подпись имеет силу собственноручной. BGH последовательно исходит из того, что для формы недостаточно «подписать QES»: волеизъявление должно ещё и дойти до адресата так, чтобы он мог проверить подпись (Zugang).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eIDAS (EU) 910/2014, EUR-Lex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VDG (gesetze-im-internet)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BGB § 126a — электронная форма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BGB § 126b — текстовая форма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BGB § 623 — расторжение трудового договора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4">
        <w:r>
          <w:rPr>
            <w:color w:val="0563C1"/>
            <w:u w:val="single"/>
            <w:sz w:val="18"/>
            <w:rFonts w:ascii="Calibri" w:hAnsi="Calibri"/>
          </w:rPr>
          <w:t xml:space="preserve">BGH VIII ZR 155/23 (27.11.2024), PDF суда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5">
        <w:r>
          <w:rPr>
            <w:color w:val="0563C1"/>
            <w:u w:val="single"/>
            <w:sz w:val="18"/>
            <w:rFonts w:ascii="Calibri" w:hAnsi="Calibri"/>
          </w:rPr>
          <w:t xml:space="preserve">BEG IV / трудовое право с 01.01.2025 (обзор)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С 1 января 2025 г. BEG IV смягчил форму в трудовом праве: доказательство существенных условий труда (Nachweisgesetz) допустимо в Textform — PDF/e‑mail, которые работник может сохранить и распечатать, с запросом подтверждения получения. Это не «оператор ЭДО» в российском смысле, а снижение формального порога.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eIDAS (EU) 910/2014, EUR-Lex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VDG (gesetze-im-internet)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BGB § 126a — электронная форма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BGB § 126b — текстовая форма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BGB § 623 — расторжение трудового договора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4">
        <w:r>
          <w:rPr>
            <w:color w:val="0563C1"/>
            <w:u w:val="single"/>
            <w:sz w:val="18"/>
            <w:rFonts w:ascii="Calibri" w:hAnsi="Calibri"/>
          </w:rPr>
          <w:t xml:space="preserve">BGH VIII ZR 155/23 (27.11.2024), PDF суда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5">
        <w:r>
          <w:rPr>
            <w:color w:val="0563C1"/>
            <w:u w:val="single"/>
            <w:sz w:val="18"/>
            <w:rFonts w:ascii="Calibri" w:hAnsi="Calibri"/>
          </w:rPr>
          <w:t xml:space="preserve">BEG IV / трудовое право с 01.01.2025 (обзор)</w:t>
        </w:r>
      </w:hyperlink>
    </w:p>
    <w:p>
      <w:r>
        <w:rPr>
          <w:rFonts w:ascii="Calibri" w:hAnsi="Calibri" w:eastAsia="Calibri"/>
          <w:b w:val="0"/>
          <w:i w:val="0"/>
          <w:sz w:val="24"/>
        </w:rPr>
        <w:t>Исключения остались жёсткими: увольнение и соглашение о расторжении (§ 623 BGB), срочный трудовой договор (§ 14 Abs. 4 TzBfG) — по‑прежнему Schriftform; электронная замена — только QES. Для отраслей с риском нелегальной занятости NachwG может требовать бумагу.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eIDAS (EU) 910/2014, EUR-Lex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VDG (gesetze-im-internet)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BGB § 126a — электронная форма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BGB § 126b — текстовая форма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BGB § 623 — расторжение трудового договора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4">
        <w:r>
          <w:rPr>
            <w:color w:val="0563C1"/>
            <w:u w:val="single"/>
            <w:sz w:val="18"/>
            <w:rFonts w:ascii="Calibri" w:hAnsi="Calibri"/>
          </w:rPr>
          <w:t xml:space="preserve">BGH VIII ZR 155/23 (27.11.2024), PDF суда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5">
        <w:r>
          <w:rPr>
            <w:color w:val="0563C1"/>
            <w:u w:val="single"/>
            <w:sz w:val="18"/>
            <w:rFonts w:ascii="Calibri" w:hAnsi="Calibri"/>
          </w:rPr>
          <w:t xml:space="preserve">BEG IV / трудовое право с 01.01.2025 (обзор)</w:t>
        </w:r>
      </w:hyperlink>
    </w:p>
    <w:p>
      <w:pPr>
        <w:pStyle w:val="Heading1"/>
      </w:pPr>
      <w:r>
        <w:t>2. Ключевые особенности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Трёхуровневая модель eIDAS + чёткая гражданско‑правовая лестница форм BGB.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BEG IV (2025) легализовал «цифровой трудовой договор» через Textform, а не через обязательную УКЭП.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Суды смотрят не только на наличие QES, но и на проверяемый доступ документа к адресату.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Нет института оператора ЭДО по модели ФНС; коммерческий обмен — договор + eIDAS.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eIDAS (EU) 910/2014, EUR-Lex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VDG (gesetze-im-internet)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BGB § 126a — электронная форма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BGB § 126b — текстовая форма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BGB § 623 — расторжение трудового договора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4">
        <w:r>
          <w:rPr>
            <w:color w:val="0563C1"/>
            <w:u w:val="single"/>
            <w:sz w:val="18"/>
            <w:rFonts w:ascii="Calibri" w:hAnsi="Calibri"/>
          </w:rPr>
          <w:t xml:space="preserve">BGH VIII ZR 155/23 (27.11.2024), PDF суда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5">
        <w:r>
          <w:rPr>
            <w:color w:val="0563C1"/>
            <w:u w:val="single"/>
            <w:sz w:val="18"/>
            <w:rFonts w:ascii="Calibri" w:hAnsi="Calibri"/>
          </w:rPr>
          <w:t xml:space="preserve">BEG IV / трудовое право с 01.01.2025 (обзор)</w:t>
        </w:r>
      </w:hyperlink>
    </w:p>
    <w:p>
      <w:pPr>
        <w:pStyle w:val="Heading1"/>
      </w:pPr>
      <w:r>
        <w:t>3. База для сравнения: ЭДО в Российской Федерации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Юридическая сила электронного документа и подписи — прежде всего ФЗ от 06.04.2011 № 63‑ФЗ (ПЭП / УНЭП / УКЭП).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B2B‑ЭДО (счета‑фактуры, УПД и др.) — через операторов ЭДО и отраслевые требования ФНС / Минфина.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Кадровый ЭДО — ст. 22.1–22.3 ТК РФ (согласие работника, виды ЭП, исключения).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Трансграничное признание иностранных ЭП — ст. 7 63‑ФЗ: международные договоры, соглашение сторон, существенная эквивалентность; в ЕАЭС — через службу доверенной третьей стороны (ДТС).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С августа 2026: ФЗ от 04.08.2026 № 315‑ФЗ — правила УКЭП для международных (межправительственных) организаций и их филиалов/представительств в РФ; квалифицированный сертификат выдаёт УЦ ФНС России.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16">
        <w:r>
          <w:rPr>
            <w:color w:val="0563C1"/>
            <w:u w:val="single"/>
            <w:sz w:val="18"/>
            <w:rFonts w:ascii="Calibri" w:hAnsi="Calibri"/>
          </w:rPr>
          <w:t xml:space="preserve">ФЗ от 06.04.2011 № 63‑ФЗ «Об электронной подписи»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7">
        <w:r>
          <w:rPr>
            <w:color w:val="0563C1"/>
            <w:u w:val="single"/>
            <w:sz w:val="18"/>
            <w:rFonts w:ascii="Calibri" w:hAnsi="Calibri"/>
          </w:rPr>
          <w:t xml:space="preserve">ТК РФ, ст. 22.1–22.3 (кадровый ЭДО)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8">
        <w:r>
          <w:rPr>
            <w:color w:val="0563C1"/>
            <w:u w:val="single"/>
            <w:sz w:val="18"/>
            <w:rFonts w:ascii="Calibri" w:hAnsi="Calibri"/>
          </w:rPr>
          <w:t xml:space="preserve">ФЗ от 04.08.2026 № 315‑ФЗ (УКЭП международных организаций)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9">
        <w:r>
          <w:rPr>
            <w:color w:val="0563C1"/>
            <w:u w:val="single"/>
            <w:sz w:val="18"/>
            <w:rFonts w:ascii="Calibri" w:hAnsi="Calibri"/>
          </w:rPr>
          <w:t xml:space="preserve">Решение Коллегии ЕЭК от 22.08.2023 № 120 (ДТС ЕАЭС)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ФЗ от 06.04.2011 № 63‑ФЗ «Об электронной подписи»: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https://www.consultant.ru/document/cons_doc_LAW_112701/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ТК РФ, ст. 22.1–22.3 (кадровый ЭДО): </w:t>
      </w:r>
      <w:hyperlink r:id="rId17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https://www.consultant.ru/document/cons_doc_LAW_34683/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ФЗ от 04.08.2026 № 315‑ФЗ (УКЭП международных организаций):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 xml:space="preserve">http://kremlin.ru/acts/news/80444</w:t>
        </w:r>
      </w:hyperlink>
    </w:p>
    <w:p>
      <w:pPr>
        <w:pStyle w:val="Heading1"/>
      </w:pPr>
      <w:r>
        <w:t>4. Сравнительный анализ с ЭДО РФ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Параметр</w:t>
            </w:r>
          </w:p>
        </w:tc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Германия</w:t>
            </w:r>
          </w:p>
        </w:tc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Российская Федерация</w:t>
            </w:r>
          </w:p>
        </w:tc>
        <w:tc>
          <w:tcPr>
            <w:tcW w:type="dxa" w:w="2381"/>
            <w:shd w:fill="1F4E79" w:val="clear"/>
          </w:tcPr>
          <w:p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Проверить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Юридическая сила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Электронная форма не лишает документ силы; QES (§ 126a BGB) = собственноручная подпись; с 01.01.2025 во многих трудовых документах достаточно Textform (§ 126b)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Эл. документ с ЭП признаётся при соблюдении вида подписи и закона/соглашения (63‑ФЗ)</w:t>
            </w:r>
          </w:p>
        </w:tc>
        <w:tc>
          <w:tcPr>
            <w:tcW w:type="dxa" w:w="2381"/>
          </w:tcPr>
          <w:p>
            <w:r/>
            <w:hyperlink r:id="rId9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eIDAS (EU) 910/2014, EUR-Lex</w:t>
              </w:r>
            </w:hyperlink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Модель подписи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SES / AES / QES (eIDAS). QES заменяет Schriftform. Textform — указание лица + долговечный носитель (e‑mail/PDF)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ПЭП / УНЭП / УКЭП</w:t>
            </w:r>
          </w:p>
        </w:tc>
        <w:tc>
          <w:tcPr>
            <w:tcW w:type="dxa" w:w="2381"/>
          </w:tcPr>
          <w:p>
            <w:r/>
            <w:hyperlink r:id="rId16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ФЗ от 06.04.2011 № 63‑ФЗ «Об электронной подписи»</w:t>
              </w:r>
            </w:hyperlink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Инфраструктура доверия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QTSP по eIDAS; национальный VDG; trusted list ЕС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Аккредитованные УЦ, операторы ЭДО, УЦ ФНС</w:t>
            </w:r>
          </w:p>
        </w:tc>
        <w:tc>
          <w:tcPr>
            <w:tcW w:type="dxa" w:w="2381"/>
          </w:tcPr>
          <w:p>
            <w:r/>
            <w:hyperlink r:id="rId9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eIDAS (EU) 910/2014, EUR-Lex</w:t>
              </w:r>
            </w:hyperlink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Трансграничность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Автоматическое признание QES внутри ЕС; вне ЕС — по eIDAS / договору</w:t>
            </w:r>
          </w:p>
        </w:tc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Ст. 7 63‑ФЗ, договоры, ДТС ЕАЭС; 315‑ФЗ — УКЭП международных организаций</w:t>
            </w:r>
          </w:p>
        </w:tc>
        <w:tc>
          <w:tcPr>
            <w:tcW w:type="dxa" w:w="2381"/>
          </w:tcPr>
          <w:p>
            <w:r/>
            <w:hyperlink r:id="rId16">
              <w:r>
                <w:rPr>
                  <w:color w:val="0563C1"/>
                  <w:u w:val="single"/>
                  <w:sz w:val="18"/>
                  <w:rFonts w:ascii="Calibri" w:hAnsi="Calibri"/>
                </w:rPr>
                <w:t xml:space="preserve">Ст. 7 63‑ФЗ — признание иностранных электронных подписей</w:t>
              </w:r>
            </w:hyperlink>
          </w:p>
        </w:tc>
      </w:tr>
    </w:tbl>
    <w:p/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Сходство: иерархия подписи близка к ПЭП/УНЭП/УКЭП; QES ≈ УКЭП.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Отличие: Германия в 2025 г. сознательно снизила форму многих кадровых документов до Textform; РФ, напротив, для КЭДО фиксирует виды ЭП в ст. 22.2 ТК.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Отличие: в РФ иностранные ЭП признаются точечно (ст. 7 63‑ФЗ); внутри ЕС QES признаётся автоматически.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Отличие: BGH отдельно разработал доктрину Zugang электронной формы — аналога в 63‑ФЗ почти нет.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eIDAS (EU) 910/2014, EUR-Lex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VDG (gesetze-im-internet)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BGB § 126a — электронная форма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BGB § 126b — текстовая форма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BGB § 623 — расторжение трудового договора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4">
        <w:r>
          <w:rPr>
            <w:color w:val="0563C1"/>
            <w:u w:val="single"/>
            <w:sz w:val="18"/>
            <w:rFonts w:ascii="Calibri" w:hAnsi="Calibri"/>
          </w:rPr>
          <w:t xml:space="preserve">BGH VIII ZR 155/23 (27.11.2024), PDF суда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5">
        <w:r>
          <w:rPr>
            <w:color w:val="0563C1"/>
            <w:u w:val="single"/>
            <w:sz w:val="18"/>
            <w:rFonts w:ascii="Calibri" w:hAnsi="Calibri"/>
          </w:rPr>
          <w:t xml:space="preserve">BEG IV / трудовое право с 01.01.2025 (обзор)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6">
        <w:r>
          <w:rPr>
            <w:color w:val="0563C1"/>
            <w:u w:val="single"/>
            <w:sz w:val="18"/>
            <w:rFonts w:ascii="Calibri" w:hAnsi="Calibri"/>
          </w:rPr>
          <w:t xml:space="preserve">ФЗ от 06.04.2011 № 63‑ФЗ «Об электронной подписи»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7">
        <w:r>
          <w:rPr>
            <w:color w:val="0563C1"/>
            <w:u w:val="single"/>
            <w:sz w:val="18"/>
            <w:rFonts w:ascii="Calibri" w:hAnsi="Calibri"/>
          </w:rPr>
          <w:t xml:space="preserve">ТК РФ, ст. 22.1–22.3 (кадровый ЭДО)</w:t>
        </w:r>
      </w:hyperlink>
    </w:p>
    <w:p>
      <w:pPr>
        <w:pStyle w:val="Heading1"/>
      </w:pPr>
      <w:r>
        <w:t>5. Что из этой практики можно добавить в РФ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Развести «квалифицированную форму» и «текстовую форму»: не всё, что сейчас на бумаге, нуждается в УКЭП.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Зафиксировать правило доставки: электронный акт с УКЭП должен попасть к адресату в проверяемом виде, а не как «скан без подписи».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eIDAS (EU) 910/2014, EUR-Lex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VDG (gesetze-im-internet)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BGB § 126a — электронная форма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BGB § 126b — текстовая форма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BGB § 623 — расторжение трудового договора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4">
        <w:r>
          <w:rPr>
            <w:color w:val="0563C1"/>
            <w:u w:val="single"/>
            <w:sz w:val="18"/>
            <w:rFonts w:ascii="Calibri" w:hAnsi="Calibri"/>
          </w:rPr>
          <w:t xml:space="preserve">BGH VIII ZR 155/23 (27.11.2024), PDF суда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5">
        <w:r>
          <w:rPr>
            <w:color w:val="0563C1"/>
            <w:u w:val="single"/>
            <w:sz w:val="18"/>
            <w:rFonts w:ascii="Calibri" w:hAnsi="Calibri"/>
          </w:rPr>
          <w:t xml:space="preserve">BEG IV / трудовое право с 01.01.2025 (обзор)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7">
        <w:r>
          <w:rPr>
            <w:color w:val="0563C1"/>
            <w:u w:val="single"/>
            <w:sz w:val="18"/>
            <w:rFonts w:ascii="Calibri" w:hAnsi="Calibri"/>
          </w:rPr>
          <w:t xml:space="preserve">ТК РФ, ст. 22.1–22.3 (кадровый ЭДО)</w:t>
        </w:r>
      </w:hyperlink>
    </w:p>
    <w:p>
      <w:pPr>
        <w:pStyle w:val="Heading1"/>
      </w:pPr>
      <w:r>
        <w:t>6. Что не стоит заимствовать / лучше не ужесточать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Не переносить немецкое Schriftform‑исключение для увольнений как универсальный запрет ЭДО.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4"/>
        </w:rPr>
        <w:t>Не делать Textform единственным стандартом для документов с высоким риском оспаривания (несчастные случаи, наряды‑допуски).</w:t>
      </w:r>
    </w:p>
    <w:p>
      <w:pPr>
        <w:spacing w:before="0" w:after="200"/>
      </w:pPr>
      <w:r>
        <w:rPr>
          <w:rFonts w:ascii="Calibri" w:hAnsi="Calibri" w:eastAsia="Calibri"/>
          <w:b w:val="0"/>
          <w:i/>
          <w:color w:val="535353"/>
          <w:sz w:val="18"/>
        </w:rPr>
        <w:t xml:space="preserve">Проверить: </w:t>
      </w:r>
      <w:hyperlink r:id="rId9">
        <w:r>
          <w:rPr>
            <w:color w:val="0563C1"/>
            <w:u w:val="single"/>
            <w:sz w:val="18"/>
            <w:rFonts w:ascii="Calibri" w:hAnsi="Calibri"/>
          </w:rPr>
          <w:t xml:space="preserve">eIDAS (EU) 910/2014, EUR-Lex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0">
        <w:r>
          <w:rPr>
            <w:color w:val="0563C1"/>
            <w:u w:val="single"/>
            <w:sz w:val="18"/>
            <w:rFonts w:ascii="Calibri" w:hAnsi="Calibri"/>
          </w:rPr>
          <w:t xml:space="preserve">VDG (gesetze-im-internet)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1">
        <w:r>
          <w:rPr>
            <w:color w:val="0563C1"/>
            <w:u w:val="single"/>
            <w:sz w:val="18"/>
            <w:rFonts w:ascii="Calibri" w:hAnsi="Calibri"/>
          </w:rPr>
          <w:t xml:space="preserve">BGB § 126a — электронная форма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2">
        <w:r>
          <w:rPr>
            <w:color w:val="0563C1"/>
            <w:u w:val="single"/>
            <w:sz w:val="18"/>
            <w:rFonts w:ascii="Calibri" w:hAnsi="Calibri"/>
          </w:rPr>
          <w:t xml:space="preserve">BGB § 126b — текстовая форма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3">
        <w:r>
          <w:rPr>
            <w:color w:val="0563C1"/>
            <w:u w:val="single"/>
            <w:sz w:val="18"/>
            <w:rFonts w:ascii="Calibri" w:hAnsi="Calibri"/>
          </w:rPr>
          <w:t xml:space="preserve">BGB § 623 — расторжение трудового договора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4">
        <w:r>
          <w:rPr>
            <w:color w:val="0563C1"/>
            <w:u w:val="single"/>
            <w:sz w:val="18"/>
            <w:rFonts w:ascii="Calibri" w:hAnsi="Calibri"/>
          </w:rPr>
          <w:t xml:space="preserve">BGH VIII ZR 155/23 (27.11.2024), PDF суда</w:t>
        </w:r>
      </w:hyperlink>
      <w:r>
        <w:rPr>
          <w:rFonts w:ascii="Calibri" w:hAnsi="Calibri" w:eastAsia="Calibri"/>
          <w:b w:val="0"/>
          <w:i w:val="0"/>
          <w:color w:val="535353"/>
          <w:sz w:val="18"/>
        </w:rPr>
        <w:t xml:space="preserve">  ·  </w:t>
      </w:r>
      <w:hyperlink r:id="rId15">
        <w:r>
          <w:rPr>
            <w:color w:val="0563C1"/>
            <w:u w:val="single"/>
            <w:sz w:val="18"/>
            <w:rFonts w:ascii="Calibri" w:hAnsi="Calibri"/>
          </w:rPr>
          <w:t xml:space="preserve">BEG IV / трудовое право с 01.01.2025 (обзор)</w:t>
        </w:r>
      </w:hyperlink>
    </w:p>
    <w:p>
      <w:pPr>
        <w:pStyle w:val="Heading1"/>
      </w:pPr>
      <w:r>
        <w:t>7. Источники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eIDAS (EU) 910/2014, EUR-Lex: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https://eur-lex.europa.eu/legal-content/EN/TXT/?uri=CELEX:32014R0910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VDG (gesetze-im-internet):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https://www.gesetze-im-internet.de/vdg/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BGB § 126a — электронная форма: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 xml:space="preserve">https://www.gesetze-im-internet.de/bgb/__126a.html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BGB § 126b — текстовая форма: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 xml:space="preserve">https://www.gesetze-im-internet.de/bgb/__126b.html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BGB § 623 — расторжение трудового договора: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 xml:space="preserve">https://www.gesetze-im-internet.de/bgb/__623.html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BGH VIII ZR 155/23 (27.11.2024), PDF суда: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 xml:space="preserve">https://www.bundesgerichtshof.de/SharedDocs/Entscheidungen/DE/Zivilsenate/VIII_ZS/2023/VIII_ZR_155-23.pdf?__blob=publicationFile&amp;v=1</w:t>
        </w:r>
      </w:hyperlink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 xml:space="preserve">BEG IV / трудовое право с 01.01.2025 (обзор):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 xml:space="preserve">https://www.pkf-fasselt.de/artikel/buerokratieentlastung-und-arbeitsrecht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ur-lex.europa.eu/legal-content/EN/TXT/?uri=CELEX:32014R0910" TargetMode="External"/><Relationship Id="rId10" Type="http://schemas.openxmlformats.org/officeDocument/2006/relationships/hyperlink" Target="https://www.gesetze-im-internet.de/vdg/" TargetMode="External"/><Relationship Id="rId11" Type="http://schemas.openxmlformats.org/officeDocument/2006/relationships/hyperlink" Target="https://www.gesetze-im-internet.de/bgb/__126a.html" TargetMode="External"/><Relationship Id="rId12" Type="http://schemas.openxmlformats.org/officeDocument/2006/relationships/hyperlink" Target="https://www.gesetze-im-internet.de/bgb/__126b.html" TargetMode="External"/><Relationship Id="rId13" Type="http://schemas.openxmlformats.org/officeDocument/2006/relationships/hyperlink" Target="https://www.gesetze-im-internet.de/bgb/__623.html" TargetMode="External"/><Relationship Id="rId14" Type="http://schemas.openxmlformats.org/officeDocument/2006/relationships/hyperlink" Target="https://www.bundesgerichtshof.de/SharedDocs/Entscheidungen/DE/Zivilsenate/VIII_ZS/2023/VIII_ZR_155-23.pdf?__blob=publicationFile&amp;v=1" TargetMode="External"/><Relationship Id="rId15" Type="http://schemas.openxmlformats.org/officeDocument/2006/relationships/hyperlink" Target="https://www.pkf-fasselt.de/artikel/buerokratieentlastung-und-arbeitsrecht" TargetMode="External"/><Relationship Id="rId16" Type="http://schemas.openxmlformats.org/officeDocument/2006/relationships/hyperlink" Target="https://www.consultant.ru/document/cons_doc_LAW_112701/" TargetMode="External"/><Relationship Id="rId17" Type="http://schemas.openxmlformats.org/officeDocument/2006/relationships/hyperlink" Target="https://www.consultant.ru/document/cons_doc_LAW_34683/" TargetMode="External"/><Relationship Id="rId18" Type="http://schemas.openxmlformats.org/officeDocument/2006/relationships/hyperlink" Target="http://kremlin.ru/acts/news/80444" TargetMode="External"/><Relationship Id="rId19" Type="http://schemas.openxmlformats.org/officeDocument/2006/relationships/hyperlink" Target="https://docs.eaeunion.org/documents/414/7596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