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ЭДО в охране труда: Германия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Электронные документы обучения, инструктажа, учёта НС. Сравнение с РФ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pPr>
        <w:pStyle w:val="Heading1"/>
      </w:pPr>
      <w:r>
        <w:t>1. Регулирование ЭДО в охране труда</w:t>
      </w:r>
    </w:p>
    <w:p>
      <w:r>
        <w:rPr>
          <w:rFonts w:ascii="Calibri" w:hAnsi="Calibri" w:eastAsia="Calibri"/>
          <w:b w:val="0"/>
          <w:i w:val="0"/>
          <w:sz w:val="24"/>
        </w:rPr>
        <w:t>Основные акты: Arbeitsschutzgesetz (ArbSchG) §§ 5, 12; DGUV Vorschrift 1; Gefahrstoffverordnung § 14; BEG IV (трудовая форма, 2025)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§ 12 ArbSchG обязывает работодателя инструктировать работников (Unterweisung) с учётом рабочего места и задач. Это содержательная обязанность, а не требование вести бумажный журнал с личной подписью.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BAG (1 ABR 104/09) прямо связал инструктаж с оценкой рисков (§ 5 ArbSchG): общие «беседы по охране труда» без привязки к конкретным опасностям не выполняют закон. Для ЭДО в ОТ это ключевой вывод: электронный курс, не привязанный к Gefährdungsbeurteilung, так же уязвим, как пустой бумажный журнал.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Практика DGUV и комментарии к GefStoffV § 14: подтверждение инструктажа по опасным веществам может быть электронным; квалифицированная ЭП не требуется. Цифровой Unterweisung признаётся, если система фиксирует дату, участника, содержание и защищает запись.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В отличие от РФ, в Германии нет нормы, которая выводила бы журналы инструктажей и акты НС из электронного оборота. Ограничения — в доказательственной силе конкретной системы, а не в статутном запрете.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Нет аналога ст. 22.1(3) ТК РФ.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Суды проверяют содержание инструктажа и его связь с оценкой рисков, а не наличие «мокрой» подписи.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Электронная фиксация допустима при долговечности и защите от несанкционированных правок.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BEG IV облегчил кадровую форму, но не подменил собой обязанности ArbSchG.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</w:p>
    <w:p>
      <w:pPr>
        <w:pStyle w:val="Heading1"/>
      </w:pPr>
      <w:r>
        <w:t>3. База для сравнения: ЭДО в ОТ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Кадровый ЭДО — ст. 22.1–22.3 ТК РФ: согласие работника, виды ЭП, исключения.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Ч. 3 ст. 22.1 ТК РФ прямо исключает из кадрового ЭДО документы о прохождении работником инструктажа по охране труда и акты о несчастном случае на производстве.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Обучение / инструктажи по ОТ — постановление Правительства РФ от 24.12.2021 № 2464; на практике журналы инструктажей ведутся на бумаге именно из‑за исключения ст. 22.1(3).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Юридическая сила электронной подписи — 63‑ФЗ (ПЭП / УНЭП / УКЭП). Для кадровых документов с 2022 г. — ст. 22.2–22.3 ТК.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ПП РФ от 24.12.2021 № 2464 (обучение по охране труда)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6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ТК РФ, ст. 22.1 ч. 3 (исключения из кадрового ЭДО):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ПП РФ от 24.12.2021 № 2464 (обучение по охране труда):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https://www.consultant.ru/document/cons_doc_LAW_405146/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06.04.2011 № 63‑ФЗ «Об электронной подписи»: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Heading1"/>
      </w:pPr>
      <w:r>
        <w:t>4. Сравнение с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Германия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Российская Федерация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Проверить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Юридическая сила записей ОТ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Для обычного Unterweisung закон не требует собственноручной подписи — достаточно документирования. Электронная фиксация допустима, если запись долговечна и защищена от правок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Журналы инструктажей и акты НС исключены из кадрового ЭДО (ст. 22.1 ч. 3 ТК РФ)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BAG 1 ABR 104/09 (11.01.2011)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Подпись / форма журнала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Подпись работника на инструктаже — не конститутивный элемент § 12 ArbSchG. Для GefStoffV § 14 подтверждение может быть электронным; QES не обязательна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На практике — бумажный журнал; КЭДО на эти документы не распространяется</w:t>
            </w:r>
          </w:p>
        </w:tc>
        <w:tc>
          <w:tcPr>
            <w:tcW w:type="dxa" w:w="2381"/>
          </w:tcPr>
          <w:p>
            <w:r/>
            <w:hyperlink r:id="rId14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ТК РФ, ст. 22.1 ч. 3 (исключения из кадрового ЭДО)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Доверие / система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Внутренние LMS / документация работодателя; при споре — свободная оценка доказательств, а не аккредитованный оператор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Бумажный журнал + ПП 2464; операторы КЭДО — для иных кадровых документов</w:t>
            </w:r>
          </w:p>
        </w:tc>
        <w:tc>
          <w:tcPr>
            <w:tcW w:type="dxa" w:w="2381"/>
          </w:tcPr>
          <w:p>
            <w:r/>
            <w:hyperlink r:id="rId15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ПП РФ от 24.12.2021 № 2464 (обучение по охране труда)</w:t>
              </w:r>
            </w:hyperlink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Сходство: и там, и там работодатель обязан обучать/инструктировать и быть способным это доказать.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РФ статутно исключает журналы инструктажей и акты НС из КЭДО; Германия такого запрета не знает.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немецкая модель ближе к «документированию факта инструктажа», российская — к «отдельному бумажному журналу как самостоятельному документу».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Для заимствования: Германия показывает, что можно легализовать e‑инструктаж без обязательной УКЭП на каждую отметку.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ПП РФ от 24.12.2021 № 2464 (обучение по охране труда)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6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</w:p>
    <w:p>
      <w:pPr>
        <w:pStyle w:val="Heading1"/>
      </w:pPr>
      <w:r>
        <w:t>5. Что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Снять или сузить исключение ст. 22.1(3) ТК для журналов инструктажей, оставив повышенные требования к идентификации и неизменности записи (как в Беларуси / по смыслу немецкого документирования).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В методиках Минтруда закрепить, что электронный инструктаж должен опираться на оценку рисков (аналог связки §§ 12 и 5 ArbSchG).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ПП РФ от 24.12.2021 № 2464 (обучение по охране труда)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6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</w:p>
    <w:p>
      <w:pPr>
        <w:pStyle w:val="Heading1"/>
      </w:pPr>
      <w:r>
        <w:t>6. Что не стоит переносить механически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 копировать немецкую «отсутствие подписи» без компенсаторов: в РФ журнал исторически — основное доказательство прохождения инструктажа.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 считать LMS‑клик доказательством, если курс не связан с конкретными опасностями рабочего места.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BAG 1 ABR 104/09 (11.01.2011)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ArbSchG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ArbSchG § 12 — Unterweisung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ArbSchG § 5 — оценка рисков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GefStoffV § 14</w:t>
        </w:r>
      </w:hyperlink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BAG 1 ABR 104/09 (11.01.2011):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https://www.bundesarbeitsgericht.de/entscheidung/1-abr-104-09/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ArbSchG (gesetze-im-internet):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https://www.gesetze-im-internet.de/arbschg/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ArbSchG § 12 — Unterweisung: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https://www.gesetze-im-internet.de/arbschg/__12.html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ArbSchG § 5 — оценка рисков: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https://www.gesetze-im-internet.de/arbschg/__5.html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GefStoffV § 14: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https://www.gesetze-im-internet.de/gefstoffv_2010/__14.html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undesarbeitsgericht.de/entscheidung/1-abr-104-09/" TargetMode="External"/><Relationship Id="rId10" Type="http://schemas.openxmlformats.org/officeDocument/2006/relationships/hyperlink" Target="https://www.gesetze-im-internet.de/arbschg/" TargetMode="External"/><Relationship Id="rId11" Type="http://schemas.openxmlformats.org/officeDocument/2006/relationships/hyperlink" Target="https://www.gesetze-im-internet.de/arbschg/__12.html" TargetMode="External"/><Relationship Id="rId12" Type="http://schemas.openxmlformats.org/officeDocument/2006/relationships/hyperlink" Target="https://www.gesetze-im-internet.de/arbschg/__5.html" TargetMode="External"/><Relationship Id="rId13" Type="http://schemas.openxmlformats.org/officeDocument/2006/relationships/hyperlink" Target="https://www.gesetze-im-internet.de/gefstoffv_2010/__14.html" TargetMode="External"/><Relationship Id="rId14" Type="http://schemas.openxmlformats.org/officeDocument/2006/relationships/hyperlink" Target="https://www.consultant.ru/document/cons_doc_LAW_34683/" TargetMode="External"/><Relationship Id="rId15" Type="http://schemas.openxmlformats.org/officeDocument/2006/relationships/hyperlink" Target="https://www.consultant.ru/document/cons_doc_LAW_405146/" TargetMode="External"/><Relationship Id="rId16" Type="http://schemas.openxmlformats.org/officeDocument/2006/relationships/hyperlink" Target="https://www.consultant.ru/document/cons_doc_LAW_11270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