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1F4E79"/>
          <w:sz w:val="36"/>
        </w:rPr>
        <w:t>ОГЛАВЛЕНИЕ НИР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35353"/>
          <w:sz w:val="24"/>
        </w:rPr>
        <w:t>Анализ законодательства иностранных государств в части ЭДО в целом</w:t>
        <w:br/>
        <w:t>и в части ЭДО в охране труда: структура глав и параграфов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535353"/>
          <w:sz w:val="22"/>
        </w:rPr>
        <w:t>Рабочий документ для сборки текста (август 2026)</w:t>
      </w:r>
    </w:p>
    <w:p>
      <w:pPr>
        <w:pStyle w:val="Heading1"/>
      </w:pPr>
      <w:r>
        <w:t>1. Как читать это оглавление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Оглавление построено под три обязательных результата НИР: (A) общетеоретический раздел о регулировании ЭДО в иностранных государствах; (B) зарубежный опыт применения ЭДО в охране труда; (C) сравнение с российской практикой. Параграфы внутри глав A и B идут не «страна за страной», а по моделям и процессам. Страновые очерки вынесены в приложения.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Ядро юрисдикций: Европейский союз, Великобритания, США, Сингапур, Китай, Казахстан/ЕАЭС; линия сравнения — Российская Федерация (ФЗ № 63‑ФЗ, ст. 22.1–22.3 ТК РФ, ПП № 2464).</w:t>
      </w:r>
    </w:p>
    <w:p>
      <w:pPr>
        <w:pStyle w:val="Heading1"/>
      </w:pPr>
      <w:r>
        <w:t>2. Полное оглавление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 Актуальность темы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 Степень научной разработанности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 Цель, задачи, объект и предмет исследования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4. Методология и методы (сравнительно-правовой, формально-юридический, системный)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5. Границы исследования и выборка юрисдикций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6. Научная новизна, теоретическая и практическая значимость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7. Структура работы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ГЛАВА 1. ОБЩЕТЕОРЕТИЧЕСКИЕ ОСНОВЫ РЕГУЛИРОВАНИЯ ЭДО В ИНОСТРАННЫХ ГОСУДАРСТВАХ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1.1. Понятие электронного документооборота, электронного документа и электронной записи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1.1.1. Электронный документ, electronic record и electronic message: терминологические различия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1.1.2. Почему зарубежное право регулирует «подпись и запись», а не «оператора ЭДО»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1.1.3. Функциональная эквивалентность письменной форме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1.2. Международная унификация правил электронной торговли и подписи (UNCITRAL)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1.2.1. Типовой закон об электронной торговле (MLEC, 1996): недискриминация электронной формы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1.2.2. Типовой закон об электронных подписях (MLES, 2001): надёжность и иностранные подписи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1.2.3. Конвенция Нью‑Йорк 2005 об электронных сообщениях в международных договорах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1.2.4. Типовой закон об электронных передаваемых записях (MLETR, 2017) и статус имплементации к 2026 г.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1.3. Две базовые модели национального регулирования ЭДО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1.3.1. Модель иерархии подписей и квалифицированных услуг доверия (ЕС: eIDAS / eIDAS 2.0)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1.3.2. Модель технологической нейтральности и согласия сторон (США: ESIGN / UETA)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1.3.3. Гибридные и переходные режимы (Сингапур, Китай, Великобритания после Brexit)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1.3.4. PKI‑центричная модель и интеграционный контур ЕАЭС (Казахстан, Решение ЕЭК № 120)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1.4. Инфраструктура доверия и цифровая идентичность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1.4.1. Удостоверяющие центры, QTSP и рыночные провайдеры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1.4.2. Электронная печать, метка времени, зарегистрированная электронная доставка, архивирование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1.4.3. Кошелёк цифровой идентичности (EUDI Wallet) и британский DVS Trust Framework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1.5. Доказывание юридической силы электронной записи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1.5.1. Согласие на электронную форму и воспроизводимость записи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1.5.2. Целостность, audit trail и презумпции «secure» / квалифицированной подписи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1.5.3. Исключения электронной формы (семейные, наследственные, отдельные статутные акты)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1.6. Трансграничное признание электронных подписей и документов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1.6.1. Автоматическое взаимное признание внутри ЕС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1.6.2. Эквивалентность, взаимность и договор сторон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1.6.3. Служба доверенной третьей стороны в ЕАЭС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1.7. Промежуточные выводы главы 1: что общая рамка ЭДО означает для документов охраны труда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ГЛАВА 2. ЗАРУБЕЖНЫЙ ОПЫТ ПРИМЕНЕНИЯ ЭДО В ОХРАНЕ ТРУДА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2.1. Предмет и границы «ЭДО в охране труда»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2.1.1. Почему специального «закона об ЭДО в ОТ» почти нигде нет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2.1.2. Перечень процессов ОТ, где электронная запись имеет юридическое значение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2.1.3. Соотношение общего ЭДО, трудового права и специальных правил OSH/WSH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2.2. Инструктажи и обучение по охране труда в электронной форме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2.2.1. Европейский союз: документирование обучения и компетентности через eIDAS‑рамку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2.2.2. США: electronic training records и позиция OSHA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2.2.3. Сингапур: Training Records System как государственный сервис проверки обучения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2.2.4. Казахстан: электронный журнал инструктажа с ЭЦП как прямая спецнорма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2.2.5. Китай и Великобритания: применение общего режима ЭП к safety training records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2.3. Оценка профессиональных рисков и электронные наряды-допуски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2.3.1. Risk assessment как ядро документации ОТ в ЕС и UK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2.3.2. Electronic permit-to-work: блокировка допуска без действующего обучения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2.3.3. Цифровые шаблоны ОПР (OiRA и национальные аналоги)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2.4. Ознакомление работника с локальными актами и требованиями по ОТ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2.4.1. Electronic acknowledgement vs собственноручная подпись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2.4.2. Риск «клика вместо ознакомления» и требования к идентификации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2.5. Учёт травматизма, расследование несчастных случаев и отчётность регулятору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2.5.1. США: 29 CFR Part 1904 и Injury Tracking Application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2.5.2. Великобритания: RIDDOR и электронная подача сведений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2.5.3. Соотношение электронного учёта и процессуального статуса акта о несчастном случае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2.6. Доказывание перед инспекцией и судом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2.6.1. Что считается sufficient / reliable electronic record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2.6.2. Audit trail, сроки хранения, доступность записи по запросу инспектора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2.6.3. Типичные дефекты электронной фиксации (подмена лица, отсутствие логов, утрата данных)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2.7. Промежуточные выводы главы 2: где электронная форма в ОТ прямо разрешена, молчаливо допустима или исключена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ГЛАВА 3. СРАВНЕНИЕ ЗАРУБЕЖНОГО РЕГУЛИРОВАНИЯ И ОПЫТА С РОССИЙСКОЙ ПРАКТИКОЙ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3.1. Российская правовая рамка ЭДО как линия сравнения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3.1.1. ФЗ № 63‑ФЗ: ПЭП, УНЭП, УКЭП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3.1.2. Кадровый ЭДО: ст. 22.1–22.3 ТК РФ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3.1.3. Обучение по охране труда: ПП РФ № 2464 (в ред. № 805)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3.1.4. Трансграничность: ст. 7 63‑ФЗ, ДТС ЕАЭС, ФЗ № 315‑ФЗ (2026)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3.2. Точки сходства российской и зарубежной моделей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3.2.1. Недискриминация электронной формы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3.2.2. Близость иерархии подписи РФ к модели ЕС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3.2.3. Наличие аккредитованной инфраструктуры доверия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3.3. Ключевые расхождения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3.3.1. Исключение инструктажей по ОТ и актов НС из КЭДО (ч. 3 ст. 22.1 ТК РФ)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3.3.2. Формализм журнала vs содержательная достаточность записи (UK / США)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3.3.3. Отсутствие прямого аналога государственного сервиса проверки обучения (Сингапур TRS)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3.3.4. Трансграничное признание: автоматизм ЕС vs ДТС ЕАЭС vs точечная ст. 7 63‑ФЗ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3.4. Что из зарубежного опыта целесообразно заимствовать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3.4.1. Электронный журнал инструктажа с ЭП (модель Казахстана)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3.4.2. Стандарт реквизитов и audit trail электронной записи ОТ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3.4.3. Сервис проверки обучения до допуска (мотив Сингапура)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3.4.4. Электронные наряды-допуски и шаблоны ОПР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3.4.5. Квалифицированный архив, метка времени, registered delivery (мотив eIDAS 2.0)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3.5. Что не следует механически переносить в российское право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3.5.1. Отказ от иерархии ПЭП/УНЭП/УКЭП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3.5.2. Полный отказ от подтверждения работника на инструктаже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3.5.3. Обязательный кошелёк идентичности до готовности инфраструктуры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3.5.4. Перенос MLETR в кадровый / охранительный документооборот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§ 3.6. Предложения de lege lata и de lege ferenda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3.6.1. Что можно сделать без изменения ТК РФ (ЛНА, УНЭП, протоколы по № 2464)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3.6.2. Какие правки ч. 3 ст. 22.1 ТК РФ и/или № 2464 нужны для электронного журнала инструктажа</w:t>
      </w:r>
    </w:p>
    <w:p>
      <w:pPr>
        <w:spacing w:after="40" w:before="40" w:line="276" w:lineRule="auto"/>
        <w:ind w:left="850"/>
      </w:pPr>
      <w:r>
        <w:rPr>
          <w:rFonts w:ascii="Times New Roman" w:hAnsi="Times New Roman" w:eastAsia="Times New Roman"/>
          <w:b w:val="0"/>
          <w:sz w:val="28"/>
        </w:rPr>
        <w:t>3.6.3. Направления развития ДТС ЕАЭС для практики работодателя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sz w:val="28"/>
        </w:rPr>
        <w:t>ПРИЛОЖЕНИЯ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Приложение 1. Сравнительная матрица А: ЭДО в целом по юрисдикциям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Приложение 2. Сравнительная матрица B: ЭДО в охране труда по юрисдикциям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Приложение 3. Матрица C: сравнение с Российской Федерацией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Приложение 4. Страновые карточки (ЕС, UK, США, Сингапур, Китай, Казахстан/ЕАЭС)</w:t>
      </w:r>
    </w:p>
    <w:p>
      <w:pPr>
        <w:spacing w:after="40" w:before="40" w:line="276" w:lineRule="auto"/>
        <w:ind w:left="425"/>
      </w:pPr>
      <w:r>
        <w:rPr>
          <w:rFonts w:ascii="Times New Roman" w:hAnsi="Times New Roman" w:eastAsia="Times New Roman"/>
          <w:b w:val="0"/>
          <w:sz w:val="28"/>
        </w:rPr>
        <w:t>Приложение 5. Реестр источников с уровнями доказательности</w:t>
      </w:r>
    </w:p>
    <w:p>
      <w:pPr>
        <w:pStyle w:val="Heading1"/>
      </w:pPr>
      <w:r>
        <w:t>3. Краткие аннотации ключевых параграфов</w:t>
      </w:r>
    </w:p>
    <w:p>
      <w:r>
        <w:rPr>
          <w:rFonts w:ascii="Times New Roman" w:hAnsi="Times New Roman" w:eastAsia="Times New Roman"/>
          <w:b w:val="0"/>
          <w:sz w:val="28"/>
        </w:rPr>
        <w:t>Ниже — что именно должно быть написано в параграфе (не заголовки, а содержательный заказ на текст). Это ориентир для автора при сборке глав.</w:t>
      </w:r>
    </w:p>
    <w:p>
      <w:pPr>
        <w:pStyle w:val="Heading2"/>
      </w:pPr>
      <w:r>
        <w:t>§ 1.1. Понятие ЭДО / электронного документа / записи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Развести термины electronic document, electronic record, electronic message, electronic signature. Показать, что «ЭДО» в российском управленческом смысле шире, чем в зарубежных законах, где регулируется сила записи и подписи. Зафиксировать принцип функциональной эквивалентности письму.</w:t>
      </w:r>
    </w:p>
    <w:p>
      <w:pPr>
        <w:pStyle w:val="Heading2"/>
      </w:pPr>
      <w:r>
        <w:t>§ 1.3. Две базовые модели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Дать контраст ЕС (SES/AES/QES + QTSP + взаимное признание) и США (нейтральность + согласие + сохраняемость). Показать, куда относятся Сингапур (secure signature + MLETR), Китай («надёжная» ЭП + исключения), UK (retained eIDAS + ETDA + DVS), Казахстан/ЕАЭС (ЭЦП + ДТС). Вывод: РФ ближе к европейской иерархии, чем к американской нейтральности.</w:t>
      </w:r>
    </w:p>
    <w:p>
      <w:pPr>
        <w:pStyle w:val="Heading2"/>
      </w:pPr>
      <w:r>
        <w:t>§ 1.7. Мост к охране труда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Сформулировать правило перехода: если закон не запрещает электронную запись и обеспечивает идентификацию/целостность, документы ОТ могут быть электронными; если есть спецзапрет или требование собственноручной подписи — нужна спецнорма. Это логический переход к главе 2.</w:t>
      </w:r>
    </w:p>
    <w:p>
      <w:pPr>
        <w:pStyle w:val="Heading2"/>
      </w:pPr>
      <w:r>
        <w:t>§ 2.2. Инструктажи и обучение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Собрать по процессам, не по странам: что OSHA прямо разрешила electronic training records; что Сингапур проверяет через TRS до допуска; что Казахстан прямо легализовал электронный журнал с ЭЦП; что в ЕС нет общесоюзного запрета на e-фиксацию. Каждый тезис — со ссылкой на акт/LOI/правило.</w:t>
      </w:r>
    </w:p>
    <w:p>
      <w:pPr>
        <w:pStyle w:val="Heading2"/>
      </w:pPr>
      <w:r>
        <w:t>§ 2.5. Травматизм и НС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Отделить электронный учёт/отчётность (OSHA ITA, RIDDOR online) от процессуального акта расследования. Показать: цифровизация отчётности не отменяет полноценного расследования. Это критично для сравнения с исключением актов НС из КЭДО в РФ.</w:t>
      </w:r>
    </w:p>
    <w:p>
      <w:pPr>
        <w:pStyle w:val="Heading2"/>
      </w:pPr>
      <w:r>
        <w:t>§ 3.3. Ключевые расхождения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Центральный параграф сравнения. Ядро: ч. 3 ст. 22.1 ТК РФ исключает из КЭДО подтверждение инструктажей и акты НС, тогда как зарубежные режимы обычно допускают электронную фиксацию при условиях доказываемости. Далее — формализм журнала vs sufficient record; отсутствие TRS-подобного сервиса; разная трансграничность.</w:t>
      </w:r>
    </w:p>
    <w:p>
      <w:pPr>
        <w:pStyle w:val="Heading2"/>
      </w:pPr>
      <w:r>
        <w:t>§ 3.4–3.6. Заимствования и предложения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Не список «хотелок», а привязка к пробелу РФ: что закрывает правка ТК/2464, что закрывается ЛНА уже сейчас, что относится к инфраструктуре (ДТС, архив, метка времени). Отдельно — «не переносить» с причиной.</w:t>
      </w:r>
    </w:p>
    <w:p>
      <w:pPr>
        <w:pStyle w:val="Heading1"/>
      </w:pPr>
      <w:r>
        <w:t>4. Соответствие оглавления матрицам поиска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Приложение 1 / Матрица A → материал §§ 1.2–1.6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Приложение 2 / Матрица B → материал §§ 2.2–2.6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Приложение 3 / Матрица C → материал §§ 3.2–3.6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Страновые Word-карточки → Приложение 4; в основной текст идут только как примеры</w:t>
      </w:r>
    </w:p>
    <w:p>
      <w:r>
        <w:rPr>
          <w:rFonts w:ascii="Times New Roman" w:hAnsi="Times New Roman" w:eastAsia="Times New Roman"/>
          <w:b w:val="0"/>
          <w:sz w:val="28"/>
        </w:rPr>
        <w:t>Правило сборки: сначала заполняются матрицы A и B по стране, затем пишется текст параграфов. Глава 3 пишется последней и только из матрицы C.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