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Европейском союзе (eIDAS / eIDAS 2.0)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Сравнительный обзор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Регламент (EU) № 910/2014 (eIDAS); Регламент (EU) 2024/1183 (eIDAS 2.0)</w:t>
      </w:r>
    </w:p>
    <w:p>
      <w:r>
        <w:rPr>
          <w:rFonts w:ascii="Calibri" w:hAnsi="Calibri" w:eastAsia="Calibri"/>
          <w:b w:val="0"/>
          <w:sz w:val="24"/>
        </w:rPr>
        <w:t>Ключевой акт — Регламент (EU) № 910/2014 (eIDAS). С 20.05.2024 действует обновление — Регламент (EU) 2024/1183 (eIDAS 2.0).</w:t>
      </w:r>
    </w:p>
    <w:p>
      <w:r>
        <w:rPr>
          <w:rFonts w:ascii="Calibri" w:hAnsi="Calibri" w:eastAsia="Calibri"/>
          <w:b w:val="0"/>
          <w:sz w:val="24"/>
        </w:rPr>
        <w:t>ЭДО в ЕС регулируется не через «операторов ЭДО» как отдельную отрасль, а через юридическую силу электронных подписей, печатей, меток времени, заказных электронных доставок, валидации, хранения и иных услуг доверия.</w:t>
      </w:r>
    </w:p>
    <w:p>
      <w:r>
        <w:rPr>
          <w:rFonts w:ascii="Calibri" w:hAnsi="Calibri" w:eastAsia="Calibri"/>
          <w:b w:val="0"/>
          <w:sz w:val="24"/>
        </w:rPr>
        <w:t>Иерархия подписей: простая (SES), усиленная (AES), квалифицированная (QES). QES имеет силу собственноручной подписи и взаимно признаётся во всех государствах‑членах.</w:t>
      </w:r>
    </w:p>
    <w:p>
      <w:r>
        <w:rPr>
          <w:rFonts w:ascii="Calibri" w:hAnsi="Calibri" w:eastAsia="Calibri"/>
          <w:b w:val="0"/>
          <w:sz w:val="24"/>
        </w:rPr>
        <w:t>eIDAS 2.0 вводит европейский кошелёк цифровой идентичности (EUDI Wallet): государства‑члены должны предоставить как минимум один кошелёк гражданам, резидентам и бизнесу к концу 2026 г. Обязанность отдельных частных relying parties принимать кошелёк по запросу пользователя — не позднее 24.12.2027.</w:t>
      </w:r>
    </w:p>
    <w:p>
      <w:r>
        <w:rPr>
          <w:rFonts w:ascii="Calibri" w:hAnsi="Calibri" w:eastAsia="Calibri"/>
          <w:b w:val="0"/>
          <w:sz w:val="24"/>
        </w:rPr>
        <w:t>Расширяется перечень квалифицированных услуг: электронное архивирование, электронные реестры (ledgers), аттестация атрибутов. Уровни SES/AES/QES сохранены.</w:t>
      </w:r>
    </w:p>
    <w:p>
      <w:r>
        <w:rPr>
          <w:rFonts w:ascii="Calibri" w:hAnsi="Calibri" w:eastAsia="Calibri"/>
          <w:b w:val="0"/>
          <w:sz w:val="24"/>
        </w:rPr>
        <w:t>Франция в 2024 г. дополнительно имплементировала подходы MLETR (электронные передаваемые записи) в торговом кодексе — это национальный слой поверх eIDAS, а не замена регламента.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Единое пространство доверия внутри ЕС для квалифицированных подписей и услуг.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Чёткая градация доказательственной силы: SES → AES → QES.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Надзор за QTSP; списки доверенных поставщиков (trusted lists).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Отдельные инструменты: электронная печать организации, квалифицированная метка времени, зарегистрированная электронная доставка.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Фокус eIDAS 2.0 — цифровая идентичность (кошелёк) и атрибуты, а не только подпись договора.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r>
        <w:rPr>
          <w:rFonts w:ascii="Calibri" w:hAnsi="Calibri" w:eastAsia="Calibri"/>
          <w:b w:val="0"/>
          <w:sz w:val="24"/>
        </w:rPr>
        <w:t>Источники по РФ (для сверки):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Решение Коллегии ЕЭК от 22.08.2023 № 120 (ДТС ЕАЭС):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Европейский союз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Электронные подпись/документ не лишаются силы только из‑за электронной формы; QES = собственноручная подпись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Иерархия SES → AES → QES; отдельно печати, метки времени, заказные доставки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Квалифицированные поставщики услуг доверия (QTSP) под надзором; EUDI Wallet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Автоматическое взаимное признание QES/квалифицированных услуг внутри ЕС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 сторон,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трёхуровневая логика подписи (SES/AES/QES ≈ ПЭП/УНЭП/УКЭП); акцент на аккредитованных/квалифицированных поставщиках.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ЕС взаимное признание QES внутри Союза автоматическое; в РФ иностранные ЭП признаются точечно (ст. 7 63‑ФЗ, договоры, ДТС ЕАЭС).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ЕС нет универсального института «оператора ЭДО» как в российском B2B‑обмене счетами‑фактурами; форматы счетов (Peppol и др.) живут в отдельных актах.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eIDAS 2.0 ушёл дальше РФ в сторону кошелька идентичности и квалифицированного архива как самостоятельной услуги доверия.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Квалифицированное электронное архивирование и метка времени как самостоятельные услуги доверия — для судебной доказываемости целостности и даты.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Режим зарегистрированной электронной доставки юридически значимых сообщений (qualified registered electronic delivery) — особенно для споров «получено / не получено».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Электронный атрибут / аттестация полномочий (не только подпись, но и подтверждение роли подписанта) — близко к машиночитаемой доверенности, но шире.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Публичные trusted lists поставщиков — как ориентир прозрачности аккредитации УЦ.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Механически переносить всю надзорную машину QTSP поверх уже существующей аккредитации УЦ — риск двойного регулирования и роста стоимости.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Вводить обязательный «кошелёк идентичности» до готовности инфраструктуры и правил согласия.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Делать QES/УКЭП обязательной для всех документов: в ЕС простая и усиленная подписи законны, QES нужна там, где закон требует собственноручную.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Регламент (EU) № 910/2014 (eIDAS):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https://eur-lex.europa.eu/legal-content/EN/TXT/?uri=CELEX:32014R0910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Регламент (EU) 2024/1183 (eIDAS 2.0 / EUDI):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https://eur-lex.europa.eu/legal-content/EN/TXT/?uri=CELEX:32024R1183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Сводка EUR‑Lex: European Digital Identity Framework: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https://eur-lex.europa.eu/EN/legal-content/summary/the-establishment-of-the-european-digital-identity-framework-including-the-provision-of-european-digital-identity-wallets-and-trust-services.html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docs.eaeunion.org/documents/414/7596/" TargetMode="External"/><Relationship Id="rId13" Type="http://schemas.openxmlformats.org/officeDocument/2006/relationships/hyperlink" Target="https://eur-lex.europa.eu/legal-content/EN/TXT/?uri=CELEX:32014R0910" TargetMode="External"/><Relationship Id="rId14" Type="http://schemas.openxmlformats.org/officeDocument/2006/relationships/hyperlink" Target="https://eur-lex.europa.eu/legal-content/EN/TXT/?uri=CELEX:32024R1183" TargetMode="External"/><Relationship Id="rId15" Type="http://schemas.openxmlformats.org/officeDocument/2006/relationships/hyperlink" Target="https://eur-lex.europa.eu/EN/legal-content/summary/the-establishment-of-the-european-digital-identity-framework-including-the-provision-of-european-digital-identity-wallets-and-trust-servic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