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Великобритании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Сравнительный обзор с Российской Федерацией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sz w:val="24"/>
        </w:rPr>
        <w:t>Основные акты: Electronic Communications Act 2000 s.7; UK eIDAS (SI 2016/696, retained); Electronic Trade Documents Act 2023; Data (Use and Access) Act 2025 / DVS Trust Framework 1.0</w:t>
      </w:r>
    </w:p>
    <w:p>
      <w:r>
        <w:rPr>
          <w:rFonts w:ascii="Calibri" w:hAnsi="Calibri" w:eastAsia="Calibri"/>
          <w:b w:val="0"/>
          <w:sz w:val="24"/>
        </w:rPr>
        <w:t>Базовый национальный акт — Electronic Communications Act 2000, раздел 7: электронная подпись и сертификаты допустимы как доказательства подлинности и целостности в судебных процедурах.</w:t>
      </w:r>
    </w:p>
    <w:p>
      <w:r>
        <w:rPr>
          <w:rFonts w:ascii="Calibri" w:hAnsi="Calibri" w:eastAsia="Calibri"/>
          <w:b w:val="0"/>
          <w:sz w:val="24"/>
        </w:rPr>
        <w:t>До Brexit eIDAS действовал напрямую. После выхода логика уровней подписи сохранена через Electronic Identification and Trust Services for Electronic Transactions Regulations 2016 и Brexit‑поправки 2019. UK QES и EU QES взаимно автоматически не признаются.</w:t>
      </w:r>
    </w:p>
    <w:p>
      <w:r>
        <w:rPr>
          <w:rFonts w:ascii="Calibri" w:hAnsi="Calibri" w:eastAsia="Calibri"/>
          <w:b w:val="0"/>
          <w:sz w:val="24"/>
        </w:rPr>
        <w:t>Law Commission (2019) подтвердила: электронная подпись способна удовлетворить статутное требование «подписи», если доказано намерение аутентифицировать документ.</w:t>
      </w:r>
    </w:p>
    <w:p>
      <w:r>
        <w:rPr>
          <w:rFonts w:ascii="Calibri" w:hAnsi="Calibri" w:eastAsia="Calibri"/>
          <w:b w:val="0"/>
          <w:sz w:val="24"/>
        </w:rPr>
        <w:t>Electronic Trade Documents Act 2023 придал электронным товарораспорядительным документам (коносаменты, векселя и аналоги) ту же силу, что и бумажным, — это британская имплементация подхода MLETR.</w:t>
      </w:r>
    </w:p>
    <w:p>
      <w:r>
        <w:rPr>
          <w:rFonts w:ascii="Calibri" w:hAnsi="Calibri" w:eastAsia="Calibri"/>
          <w:b w:val="0"/>
          <w:sz w:val="24"/>
        </w:rPr>
        <w:t>С 2025–2026 гг. отдельно выстраивается рамка цифровой идентичности: Data (Use and Access) Act 2025 и UK digital verification services (DVS) trust framework 1.0 (офис OfDIA). Статутная версия 1.0 вступает в силу не ранее 01.09.2026 — после аккредитации первого органа оценки соответствия.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Доказательственный подход: закон прямо говорит о допустимости ЭП в суде, а не только о «равенстве бумаге».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Сохранена трёхуровневая модель подписи в духе eIDAS, но без автоматического признания с ЕС.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Гибкость коммерческой практики SES/AES при высоких требованиях к отдельным сделкам (deeds).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ETDA 2023 — один из самых зрелых режимов электронных передаваемых торговых документов.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DVS Trust Framework — добровольная сертификация сервисов цифровой верификации, а не обязательный государственный кошелёк по модели EUDI.</w:t>
      </w:r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r>
        <w:rPr>
          <w:rFonts w:ascii="Calibri" w:hAnsi="Calibri" w:eastAsia="Calibri"/>
          <w:b w:val="0"/>
          <w:sz w:val="24"/>
        </w:rPr>
        <w:t>Источники по РФ (для сверки):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22.1–22.3 (кадровый ЭДО):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04.08.2026 № 315‑ФЗ (УКЭП международных организаций):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Решение Коллегии ЕЭК от 22.08.2023 № 120 (ДТС ЕАЭС):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https://docs.eaeunion.org/documents/414/7596/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Великобритания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ЭП допустима как доказательство подлинности и целостности; не отвергается только из‑за электронной формы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Модель подписи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Сохранена логика SES / AES / QES; для deeds — более строгие средства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ПЭП / УНЭП / УКЭП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Инфраструктура доверия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UK trust services + с 01.09.2026 статутный DVS Trust Framework (цифровая верификация)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Аккредитованные УЦ, операторы ЭДО, УЦ ФНС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Трансграничность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 автоматического взаимного признания с ЕС после Brexit; оценка эквивалентности / договор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Ст. 7 63‑ФЗ, договоры сторон, ДТС ЕАЭС; 315‑ФЗ — УКЭП международных организаций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Сходство с РФ: допустимость ЭП как доказательства; наличие уровней подписи.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UK сильнее опирается на common law + доказательственную норму ECA 2000; РФ — на кодифицированные виды ЭП и специальные режимы (ЭДО ФНС, КЭДО ТК).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в РФ операторский B2B‑ЭДО и кадровый ЭДО детализированы сильнее, чем в общем UK‑акте о коммуникациях.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По торговым документам UK (ETDA) опережает РФ: электронный коносамент имеет тот же правовой режим, что бумажный.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По цифровой идентичности UK идёт параллельным, более «рыночным» путём (сертификация DVS), а не обязательным кошельком государства‑члена.</w:t>
      </w:r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Явная доказательственная норма в духе ECA s.7: ЭП и сертификат допустимы в суде как доказательства подлинности и целостности — без спора «это не документ».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Режим электронных товарораспорядительных документов по мотивам ETDA/MLETR — для внешней торговли и логистики.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Добровольная сертификация сервисов идентификации (как DVS), а не только аккредитация УЦ подписи.</w:t>
      </w:r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Копировать пост‑Brexit разрыв взаимного признания как «модель» — для РФ полезнее интеграционный контур ЕАЭС, а не изоляция PKI.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Переносить common‑law гибкость deeds без кодификации: в РФ суды и бизнес ждут вида ЭП из 63‑ФЗ.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Electronic Communications Act 2000, section 7: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https://www.legislation.gov.uk/ukpga/2000/7/section/7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The Electronic Identification and Trust Services for Electronic Transactions Regulations 2016: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https://www.legislation.gov.uk/uksi/2016/696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Electronic Trade Documents Act 2023: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https://www.legislation.gov.uk/ukpga/2023/38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UK DVS trust framework 1.0 (GOV.UK): </w:t>
      </w:r>
      <w:hyperlink r:id="rId16">
        <w:r>
          <w:rPr>
            <w:color w:val="0563C1"/>
            <w:u w:val="single"/>
            <w:sz w:val="22"/>
            <w:rFonts w:ascii="Calibri" w:hAnsi="Calibri"/>
          </w:rPr>
          <w:t xml:space="preserve">https://www.gov.uk/government/publications/uk-digital-verification-services-trust-framework-1-0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12701/" TargetMode="External"/><Relationship Id="rId10" Type="http://schemas.openxmlformats.org/officeDocument/2006/relationships/hyperlink" Target="https://www.consultant.ru/document/cons_doc_LAW_34683/" TargetMode="External"/><Relationship Id="rId11" Type="http://schemas.openxmlformats.org/officeDocument/2006/relationships/hyperlink" Target="http://kremlin.ru/acts/news/80444" TargetMode="External"/><Relationship Id="rId12" Type="http://schemas.openxmlformats.org/officeDocument/2006/relationships/hyperlink" Target="https://docs.eaeunion.org/documents/414/7596/" TargetMode="External"/><Relationship Id="rId13" Type="http://schemas.openxmlformats.org/officeDocument/2006/relationships/hyperlink" Target="https://www.legislation.gov.uk/ukpga/2000/7/section/7" TargetMode="External"/><Relationship Id="rId14" Type="http://schemas.openxmlformats.org/officeDocument/2006/relationships/hyperlink" Target="https://www.legislation.gov.uk/uksi/2016/696" TargetMode="External"/><Relationship Id="rId15" Type="http://schemas.openxmlformats.org/officeDocument/2006/relationships/hyperlink" Target="https://www.legislation.gov.uk/ukpga/2023/38" TargetMode="External"/><Relationship Id="rId16" Type="http://schemas.openxmlformats.org/officeDocument/2006/relationships/hyperlink" Target="https://www.gov.uk/government/publications/uk-digital-verification-services-trust-framework-1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