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color w:val="1F4E79"/>
          <w:sz w:val="44"/>
        </w:rPr>
        <w:t>ЭДО в США (ESIGN / UETA)</w:t>
      </w:r>
    </w:p>
    <w:p>
      <w:pPr>
        <w:spacing w:after="200"/>
      </w:pPr>
      <w:r>
        <w:rPr>
          <w:rFonts w:ascii="Calibri" w:hAnsi="Calibri" w:eastAsia="Calibri"/>
          <w:b w:val="0"/>
          <w:color w:val="535353"/>
          <w:sz w:val="26"/>
        </w:rPr>
        <w:t>Сравнительный обзор с Российской Федерацией</w:t>
      </w:r>
    </w:p>
    <w:p>
      <w:pPr>
        <w:spacing w:after="240"/>
      </w:pPr>
      <w:r>
        <w:rPr>
          <w:rFonts w:ascii="Calibri" w:hAnsi="Calibri" w:eastAsia="Calibri"/>
          <w:b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pStyle w:val="Heading1"/>
      </w:pPr>
      <w:r>
        <w:t>1. Краткий обзор регулирования ЭДО</w:t>
      </w:r>
    </w:p>
    <w:p>
      <w:r>
        <w:rPr>
          <w:rFonts w:ascii="Calibri" w:hAnsi="Calibri" w:eastAsia="Calibri"/>
          <w:b w:val="0"/>
          <w:sz w:val="24"/>
        </w:rPr>
        <w:t>Основные акты: ESIGN Act, 15 U.S.C. ch. 96; UETA (штаты; NY — ESRA)</w:t>
      </w:r>
    </w:p>
    <w:p>
      <w:r>
        <w:rPr>
          <w:rFonts w:ascii="Calibri" w:hAnsi="Calibri" w:eastAsia="Calibri"/>
          <w:b w:val="0"/>
          <w:sz w:val="24"/>
        </w:rPr>
        <w:t>Федеральный уровень — Electronic Signatures in Global and National Commerce Act (ESIGN, 15 U.S.C. chapter 96). На уровне штатов — Uniform Electronic Transactions Act (UETA); Нью‑Йорк использует собственный Electronic Signatures and Records Act (ESRA).</w:t>
      </w:r>
    </w:p>
    <w:p>
      <w:r>
        <w:rPr>
          <w:rFonts w:ascii="Calibri" w:hAnsi="Calibri" w:eastAsia="Calibri"/>
          <w:b w:val="0"/>
          <w:sz w:val="24"/>
        </w:rPr>
        <w:t>Ключевой принцип: контракт, подпись или запись не могут быть лишены юридической силы или исполнимости только потому, что они электронные.</w:t>
      </w:r>
    </w:p>
    <w:p>
      <w:r>
        <w:rPr>
          <w:rFonts w:ascii="Calibri" w:hAnsi="Calibri" w:eastAsia="Calibri"/>
          <w:b w:val="0"/>
          <w:sz w:val="24"/>
        </w:rPr>
        <w:t>Технологическая нейтральность: закон не предписывает PKI, квалифицированный сертификат или конкретный вендор. Достаточно электронной звуковой, символьной или процессной привязки, логически связанной с записью и сделанной с намерением подписать.</w:t>
      </w:r>
    </w:p>
    <w:p>
      <w:r>
        <w:rPr>
          <w:rFonts w:ascii="Calibri" w:hAnsi="Calibri" w:eastAsia="Calibri"/>
          <w:b w:val="0"/>
          <w:sz w:val="24"/>
        </w:rPr>
        <w:t>Сильный акцент на consumer consent: для потребительских сделок нужно согласие на электронную форму и возможность впоследствии получить запись в воспроизводимом виде.</w:t>
      </w:r>
    </w:p>
    <w:p>
      <w:r>
        <w:rPr>
          <w:rFonts w:ascii="Calibri" w:hAnsi="Calibri" w:eastAsia="Calibri"/>
          <w:b w:val="0"/>
          <w:sz w:val="24"/>
        </w:rPr>
        <w:t>Есть категории, где электронная форма ограничена или исключена (часть семейных, завещательных и подобных актов — по ESIGN/UETA).</w:t>
      </w:r>
    </w:p>
    <w:p>
      <w:r>
        <w:rPr>
          <w:rFonts w:ascii="Calibri" w:hAnsi="Calibri" w:eastAsia="Calibri"/>
          <w:b w:val="0"/>
          <w:sz w:val="24"/>
        </w:rPr>
        <w:t>Международный блок ESIGN ориентирует США не дискриминировать иностранные электронные подписи и следовать принципам UNCITRAL.</w:t>
      </w:r>
    </w:p>
    <w:p>
      <w:pPr>
        <w:pStyle w:val="Heading1"/>
      </w:pPr>
      <w:r>
        <w:t>2. Ключевые особенности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Недискриминация электронной формы на федеральном и штатном уровне.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Свобода выбора технологии подписания.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Акцент на согласии сторон и сохраняемости электронных записей.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Рынок коммерческих провайдеров вместо единой государственной системы квалифицированных УЦ.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Международный блок ESIGN поощряет недискриминацию иностранных электронных подписей.</w:t>
      </w:r>
    </w:p>
    <w:p>
      <w:pPr>
        <w:pStyle w:val="Heading1"/>
      </w:pPr>
      <w:r>
        <w:t>3. База для сравнения: ЭДО в Российской Федерации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Юридическая сила электронного документа и подписи — прежде всего ФЗ от 06.04.2011 № 63‑ФЗ (ПЭП / УНЭП / УКЭП).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B2B‑ЭДО (счета‑фактуры, УПД и др.) — через операторов ЭДО и отраслевые требования ФНС / Минфина.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Кадровый ЭДО — ст. 22.1–22.3 ТК РФ (согласие работника, виды ЭП, исключения).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Трансграничное признание иностранных ЭП — ст. 7 63‑ФЗ: международные договоры, соглашение сторон, существенная эквивалентность; в ЕАЭС — через службу доверенной третьей стороны (ДТС).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С августа 2026: ФЗ от 04.08.2026 № 315‑ФЗ — правила УКЭП для международных (межправительственных) организаций и их филиалов/представительств в РФ; квалифицированный сертификат выдаёт УЦ ФНС России.</w:t>
      </w:r>
    </w:p>
    <w:p>
      <w:r>
        <w:rPr>
          <w:rFonts w:ascii="Calibri" w:hAnsi="Calibri" w:eastAsia="Calibri"/>
          <w:b w:val="0"/>
          <w:sz w:val="24"/>
        </w:rPr>
        <w:t>Источники по РФ (для сверки):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ФЗ от 06.04.2011 № 63‑ФЗ «Об электронной подписи»: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https://www.consultant.ru/document/cons_doc_LAW_112701/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ТК РФ, ст. 22.1–22.3 (кадровый ЭДО):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https://www.consultant.ru/document/cons_doc_LAW_34683/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ФЗ от 04.08.2026 № 315‑ФЗ (УКЭП международных организаций):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 xml:space="preserve">http://kremlin.ru/acts/news/80444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Решение Коллегии ЕЭК от 22.08.2023 № 120 (ДТС ЕАЭС):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 xml:space="preserve">https://docs.eaeunion.org/documents/414/7596/</w:t>
        </w:r>
      </w:hyperlink>
    </w:p>
    <w:p>
      <w:pPr>
        <w:pStyle w:val="Heading1"/>
      </w:pPr>
      <w:r>
        <w:t>4. Сравнительный анализ с ЭДО РФ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США</w:t>
            </w:r>
          </w:p>
        </w:tc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Российская Федерация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Юридическая сила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Договор/запись не лишаются силы только потому, что использованы электронная подпись или электронная запись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Эл. документ с ЭП признаётся при соблюдении вида подписи и закона/соглашения (63‑ФЗ)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Модель подписи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Технологически нейтральная «электронная подпись»; нет обязательной иерархии QES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ПЭП / УНЭП / УКЭП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Инфраструктура доверия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Рынок коммерческих провайдеров + отраслевые требования; нет федеральной системы квалифицированных УЦ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Аккредитованные УЦ, операторы ЭДО, УЦ ФНС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Трансграничность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ESIGN поощряет международное принятие ЭП на принципах недискриминации / UNCITRAL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Ст. 7 63‑ФЗ, договоры сторон, ДТС ЕАЭС; 315‑ФЗ — УКЭП международных организаций</w:t>
            </w:r>
          </w:p>
        </w:tc>
      </w:tr>
    </w:tbl>
    <w:p/>
    <w:p>
      <w:pPr>
        <w:pStyle w:val="ListBullet"/>
      </w:pPr>
      <w:r>
        <w:rPr>
          <w:rFonts w:ascii="Calibri" w:hAnsi="Calibri" w:eastAsia="Calibri"/>
          <w:b w:val="0"/>
          <w:sz w:val="24"/>
        </w:rPr>
        <w:t>Главное отличие от РФ: США не требуют УКЭП / аккредитованного УЦ для силы большинства коммерческих документов.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Сходство: принцип недискриминации электронной формы; согласие на электронное взаимодействие важно и в РФ (особенно КЭДО).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В РФ сильнее государствоцентричная инфраструктура УЦ и операторов ЭДО; в США — договор и рынок.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Исключения электронной формы в США собраны системнее (семейное, наследственное и т.п.); в РФ исключения размазаны по отраслевым актам и ст. 22.1 ТК РФ.</w:t>
      </w:r>
    </w:p>
    <w:p>
      <w:pPr>
        <w:pStyle w:val="Heading1"/>
      </w:pPr>
      <w:r>
        <w:t>5. Что из этой практики можно добавить в РФ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Усилить требования к сохраняемости и воспроизводимости электронной записи (record retention / ability to accurately reproduce) — это часто решает судебный спор сильнее, чем вид подписи.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Явный короткий перечень исключений электронной формы в гражданском обороте, а не разрозненные отраслевые запреты.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Для низкорискового B2B не требовать УКЭП, если стороны согласовали УНЭП и могут воспроизвести запись.</w:t>
      </w:r>
    </w:p>
    <w:p>
      <w:pPr>
        <w:pStyle w:val="Heading1"/>
      </w:pPr>
      <w:r>
        <w:t>6. Что не стоит заимствовать / лучше не ужесточать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Полный отказ от иерархии ПЭП/УНЭП/УКЭП в пользу «американской» абсолютной нейтральности — разрушит B2G и защиту слабой стороны.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Отказаться от аккредитации УЦ: в РФ госорганы и ФНС опираются на квалифицированную инфраструктуру.</w:t>
      </w:r>
    </w:p>
    <w:p>
      <w:pPr>
        <w:pStyle w:val="Heading1"/>
      </w:pPr>
      <w:r>
        <w:t>7. Источники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ESIGN Act, 15 U.S.C. Chapter 96: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 xml:space="preserve">https://www.law.cornell.edu/uscode/text/15/chapter-96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Uniform Electronic Transactions Act (ULC): </w:t>
      </w:r>
      <w:hyperlink r:id="rId14">
        <w:r>
          <w:rPr>
            <w:color w:val="0563C1"/>
            <w:u w:val="single"/>
            <w:sz w:val="22"/>
            <w:rFonts w:ascii="Calibri" w:hAnsi="Calibri"/>
          </w:rPr>
          <w:t xml:space="preserve">https://www.uniformlaws.org/committees/community-home?CommunityKey=2c04b76c-2b7d-4399-977e-d5876ba7e034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UNCITRAL MLEC 1996 (международная база ESIGN): </w:t>
      </w:r>
      <w:hyperlink r:id="rId15">
        <w:r>
          <w:rPr>
            <w:color w:val="0563C1"/>
            <w:u w:val="single"/>
            <w:sz w:val="22"/>
            <w:rFonts w:ascii="Calibri" w:hAnsi="Calibri"/>
          </w:rPr>
          <w:t xml:space="preserve">https://uncitral.un.org/en/texts/ecommerce/modellaw/electronic_commerce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nsultant.ru/document/cons_doc_LAW_112701/" TargetMode="External"/><Relationship Id="rId10" Type="http://schemas.openxmlformats.org/officeDocument/2006/relationships/hyperlink" Target="https://www.consultant.ru/document/cons_doc_LAW_34683/" TargetMode="External"/><Relationship Id="rId11" Type="http://schemas.openxmlformats.org/officeDocument/2006/relationships/hyperlink" Target="http://kremlin.ru/acts/news/80444" TargetMode="External"/><Relationship Id="rId12" Type="http://schemas.openxmlformats.org/officeDocument/2006/relationships/hyperlink" Target="https://docs.eaeunion.org/documents/414/7596/" TargetMode="External"/><Relationship Id="rId13" Type="http://schemas.openxmlformats.org/officeDocument/2006/relationships/hyperlink" Target="https://www.law.cornell.edu/uscode/text/15/chapter-96" TargetMode="External"/><Relationship Id="rId14" Type="http://schemas.openxmlformats.org/officeDocument/2006/relationships/hyperlink" Target="https://www.uniformlaws.org/committees/community-home?CommunityKey=2c04b76c-2b7d-4399-977e-d5876ba7e034" TargetMode="External"/><Relationship Id="rId15" Type="http://schemas.openxmlformats.org/officeDocument/2006/relationships/hyperlink" Target="https://uncitral.un.org/en/texts/ecommerce/modellaw/electronic_commer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