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Calibri"/>
          <w:b/>
          <w:color w:val="1F4E79"/>
          <w:sz w:val="44"/>
        </w:rPr>
        <w:t>ЭДО в Германия</w:t>
      </w:r>
    </w:p>
    <w:p>
      <w:pPr>
        <w:spacing w:after="200"/>
      </w:pPr>
      <w:r>
        <w:rPr>
          <w:rFonts w:ascii="Calibri" w:hAnsi="Calibri" w:eastAsia="Calibri"/>
          <w:b w:val="0"/>
          <w:color w:val="535353"/>
          <w:sz w:val="26"/>
        </w:rPr>
        <w:t>Электронный документооборот в целом. Сравнение с Российской Федерацией</w:t>
      </w:r>
    </w:p>
    <w:p>
      <w:pPr>
        <w:spacing w:after="240"/>
      </w:pPr>
      <w:r>
        <w:rPr>
          <w:rFonts w:ascii="Calibri" w:hAnsi="Calibri" w:eastAsia="Calibri"/>
          <w:b w:val="0"/>
          <w:color w:val="535353"/>
          <w:sz w:val="22"/>
        </w:rPr>
        <w:t>Сравнительный анализ зарубежного регулирования электронного документооборота (ЭДО) с правовой моделью Российской Федерации. Актуализация: август 2026 г.</w:t>
      </w:r>
    </w:p>
    <w:p>
      <w:pPr>
        <w:pStyle w:val="Heading1"/>
      </w:pPr>
      <w:r>
        <w:t>1. Краткий обзор регулирования ЭДО</w:t>
      </w:r>
    </w:p>
    <w:p>
      <w:r>
        <w:rPr>
          <w:rFonts w:ascii="Calibri" w:hAnsi="Calibri" w:eastAsia="Calibri"/>
          <w:b w:val="0"/>
          <w:sz w:val="24"/>
        </w:rPr>
        <w:t>Основные акты: Регламент (EU) 910/2014 (eIDAS); Vertrauensdienstegesetz (VDG, 2017); BGB §§ 126, 126a, 126b; Viertes Bürokratieentlastungsgesetz (BEG IV, с 01.01.2025)</w:t>
      </w:r>
    </w:p>
    <w:p>
      <w:r>
        <w:rPr>
          <w:rFonts w:ascii="Calibri" w:hAnsi="Calibri" w:eastAsia="Calibri"/>
          <w:b w:val="0"/>
          <w:sz w:val="24"/>
        </w:rPr>
        <w:t>Германия применяет eIDAS напрямую. Национальный слой — Закон об услугах доверия (VDG, 2017) и гражданско‑правовые формы BGB: письменная (§ 126), электронная (§ 126a, квалифицированная ЭП), текстовая (§ 126b).</w:t>
      </w:r>
    </w:p>
    <w:p>
      <w:r>
        <w:rPr>
          <w:rFonts w:ascii="Calibri" w:hAnsi="Calibri" w:eastAsia="Calibri"/>
          <w:b w:val="0"/>
          <w:sz w:val="24"/>
        </w:rPr>
        <w:t>Квалифицированная электронная подпись имеет силу собственноручной. BGH последовательно исходит из того, что для формы недостаточно «подписать QES»: волеизъявление должно ещё и дойти до адресата так, чтобы он мог проверить подпись (Zugang).</w:t>
      </w:r>
    </w:p>
    <w:p>
      <w:r>
        <w:rPr>
          <w:rFonts w:ascii="Calibri" w:hAnsi="Calibri" w:eastAsia="Calibri"/>
          <w:b w:val="0"/>
          <w:sz w:val="24"/>
        </w:rPr>
        <w:t>С 1 января 2025 г. BEG IV смягчил форму в трудовом праве: доказательство существенных условий труда (Nachweisgesetz) допустимо в Textform — PDF/e‑mail, которые работник может сохранить и распечатать, с запросом подтверждения получения. Это не «оператор ЭДО» в российском смысле, а снижение формального порога.</w:t>
      </w:r>
    </w:p>
    <w:p>
      <w:r>
        <w:rPr>
          <w:rFonts w:ascii="Calibri" w:hAnsi="Calibri" w:eastAsia="Calibri"/>
          <w:b w:val="0"/>
          <w:sz w:val="24"/>
        </w:rPr>
        <w:t>Исключения остались жёсткими: увольнение и соглашение о расторжении (§ 623 BGB), срочный трудовой договор (§ 14 Abs. 4 TzBfG) — по‑прежнему Schriftform; электронная замена — только QES. Для отраслей с риском нелегальной занятости NachwG может требовать бумагу.</w:t>
      </w:r>
    </w:p>
    <w:p>
      <w:pPr>
        <w:pStyle w:val="Heading1"/>
      </w:pPr>
      <w:r>
        <w:t>2. Ключевые особенности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Трёхуровневая модель eIDAS + чёткая гражданско‑правовая лестница форм BGB.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BEG IV (2025) легализовал «цифровой трудовой договор» через Textform, а не через обязательную УКЭП.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Суды смотрят не только на наличие QES, но и на проверяемый доступ документа к адресату.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Нет института оператора ЭДО по модели ФНС; коммерческий обмен — договор + eIDAS.</w:t>
      </w:r>
    </w:p>
    <w:p>
      <w:pPr>
        <w:pStyle w:val="Heading1"/>
      </w:pPr>
      <w:r>
        <w:t>3. База для сравнения: ЭДО в Российской Федерации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Юридическая сила электронного документа и подписи — прежде всего ФЗ от 06.04.2011 № 63‑ФЗ (ПЭП / УНЭП / УКЭП).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B2B‑ЭДО (счета‑фактуры, УПД и др.) — через операторов ЭДО и отраслевые требования ФНС / Минфина.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Кадровый ЭДО — ст. 22.1–22.3 ТК РФ (согласие работника, виды ЭП, исключения).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Трансграничное признание иностранных ЭП — ст. 7 63‑ФЗ: международные договоры, соглашение сторон, существенная эквивалентность; в ЕАЭС — через службу доверенной третьей стороны (ДТС).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С августа 2026: ФЗ от 04.08.2026 № 315‑ФЗ — правила УКЭП для международных (межправительственных) организаций и их филиалов/представительств в РФ; квалифицированный сертификат выдаёт УЦ ФНС России.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06.04.2011 № 63‑ФЗ «Об электронной подписи»: </w:t>
      </w:r>
      <w:hyperlink r:id="rId9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https://www.consultant.ru/document/cons_doc_LAW_112701/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ТК РФ, ст. 22.1–22.3 (кадровый ЭДО): </w:t>
      </w:r>
      <w:hyperlink r:id="rId10">
        <w:r>
          <w:rPr>
            <w:color w:val="0563C1"/>
            <w:u w:val="single"/>
            <w:sz w:val="22"/>
            <w:rFonts w:ascii="Calibri" w:hAnsi="Calibri"/>
          </w:rPr>
          <w:t xml:space="preserve">https://www.consultant.ru/document/cons_doc_LAW_34683/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ФЗ от 04.08.2026 № 315‑ФЗ (УКЭП международных организаций): </w:t>
      </w:r>
      <w:hyperlink r:id="rId11">
        <w:r>
          <w:rPr>
            <w:color w:val="0563C1"/>
            <w:u w:val="single"/>
            <w:sz w:val="22"/>
            <w:rFonts w:ascii="Calibri" w:hAnsi="Calibri"/>
          </w:rPr>
          <w:t xml:space="preserve">http://kremlin.ru/acts/news/80444</w:t>
        </w:r>
      </w:hyperlink>
    </w:p>
    <w:p>
      <w:pPr>
        <w:pStyle w:val="Heading1"/>
      </w:pPr>
      <w:r>
        <w:t>4. Сравнительный анализ с ЭДО РФ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Германия</w:t>
            </w:r>
          </w:p>
        </w:tc>
        <w:tc>
          <w:tcPr>
            <w:tcW w:type="dxa" w:w="3175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Российская Федерация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Юридическая сила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Электронная форма не лишает документ силы; QES (§ 126a BGB) = собственноручная подпись; с 01.01.2025 во многих трудовых документах достаточно Textform (§ 126b)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Эл. документ с ЭП признаётся при соблюдении вида подписи и закона/соглашения (63‑ФЗ)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Модель подписи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SES / AES / QES (eIDAS). QES заменяет Schriftform. Textform — указание лица + долговечный носитель (e‑mail/PDF)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ПЭП / УНЭП / УКЭП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Инфраструктура доверия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QTSP по eIDAS; национальный VDG; trusted list ЕС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Аккредитованные УЦ, операторы ЭДО, УЦ ФНС</w:t>
            </w:r>
          </w:p>
        </w:tc>
      </w:tr>
      <w:tr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Трансграничность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Автоматическое признание QES внутри ЕС; вне ЕС — по eIDAS / договору</w:t>
            </w:r>
          </w:p>
        </w:tc>
        <w:tc>
          <w:tcPr>
            <w:tcW w:type="dxa" w:w="317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Ст. 7 63‑ФЗ, договоры, ДТС ЕАЭС; 315‑ФЗ — УКЭП международных организаций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4"/>
        </w:rPr>
        <w:t>Сходство: иерархия подписи близка к ПЭП/УНЭП/УКЭП; QES ≈ УКЭП.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Германия в 2025 г. сознательно снизила форму многих кадровых документов до Textform; РФ, напротив, для КЭДО фиксирует виды ЭП в ст. 22.2 ТК.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в РФ иностранные ЭП признаются точечно (ст. 7 63‑ФЗ); внутри ЕС QES признаётся автоматически.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Отличие: BGH отдельно разработал доктрину Zugang электронной формы — аналога в 63‑ФЗ почти нет.</w:t>
      </w:r>
    </w:p>
    <w:p>
      <w:pPr>
        <w:pStyle w:val="Heading1"/>
      </w:pPr>
      <w:r>
        <w:t>5. Что из этой практики можно добавить в РФ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Развести «квалифицированную форму» и «текстовую форму»: не всё, что сейчас на бумаге, нуждается в УКЭП.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Зафиксировать правило доставки: электронный акт с УКЭП должен попасть к адресату в проверяемом виде, а не как «скан без подписи».</w:t>
      </w:r>
    </w:p>
    <w:p>
      <w:pPr>
        <w:pStyle w:val="Heading1"/>
      </w:pPr>
      <w:r>
        <w:t>6. Что не стоит заимствовать / лучше не ужесточать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переносить немецкое Schriftform‑исключение для увольнений как универсальный запрет ЭДО.</w:t>
      </w:r>
    </w:p>
    <w:p>
      <w:pPr>
        <w:pStyle w:val="ListBullet"/>
      </w:pPr>
      <w:r>
        <w:rPr>
          <w:rFonts w:ascii="Calibri" w:hAnsi="Calibri" w:eastAsia="Calibri"/>
          <w:b w:val="0"/>
          <w:sz w:val="24"/>
        </w:rPr>
        <w:t>Не делать Textform единственным стандартом для документов с высоким риском оспаривания (несчастные случаи, наряды‑допуски).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eIDAS (EU) 910/2014: </w:t>
      </w:r>
      <w:hyperlink r:id="rId12">
        <w:r>
          <w:rPr>
            <w:color w:val="0563C1"/>
            <w:u w:val="single"/>
            <w:sz w:val="22"/>
            <w:rFonts w:ascii="Calibri" w:hAnsi="Calibri"/>
          </w:rPr>
          <w:t xml:space="preserve">https://eur-lex.europa.eu/legal-content/EN/TXT/?uri=CELEX:32014R0910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BGH VIII ZR 155/23 (27.11.2024), PDF суда: </w:t>
      </w:r>
      <w:hyperlink r:id="rId13">
        <w:r>
          <w:rPr>
            <w:color w:val="0563C1"/>
            <w:u w:val="single"/>
            <w:sz w:val="22"/>
            <w:rFonts w:ascii="Calibri" w:hAnsi="Calibri"/>
          </w:rPr>
          <w:t xml:space="preserve">https://www.bundesgerichtshof.de/SharedDocs/Entscheidungen/DE/Zivilsenate/VIII_ZS/2023/VIII_ZR_155-23.pdf?__blob=publicationFile&amp;v=1</w:t>
        </w:r>
      </w:hyperlink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 xml:space="preserve">BEG IV / трудовое право с 01.01.2025 (обзор): </w:t>
      </w:r>
      <w:hyperlink r:id="rId14">
        <w:r>
          <w:rPr>
            <w:color w:val="0563C1"/>
            <w:u w:val="single"/>
            <w:sz w:val="22"/>
            <w:rFonts w:ascii="Calibri" w:hAnsi="Calibri"/>
          </w:rPr>
          <w:t xml:space="preserve">https://www.pkf-fasselt.de/artikel/buerokratieentlastung-und-arbeitsrecht</w:t>
        </w:r>
      </w:hyperlink>
    </w:p>
    <w:sectPr w:rsidR="00FC693F" w:rsidRPr="0006063C" w:rsidSect="00034616"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onsultant.ru/document/cons_doc_LAW_112701/" TargetMode="External"/><Relationship Id="rId10" Type="http://schemas.openxmlformats.org/officeDocument/2006/relationships/hyperlink" Target="https://www.consultant.ru/document/cons_doc_LAW_34683/" TargetMode="External"/><Relationship Id="rId11" Type="http://schemas.openxmlformats.org/officeDocument/2006/relationships/hyperlink" Target="http://kremlin.ru/acts/news/80444" TargetMode="External"/><Relationship Id="rId12" Type="http://schemas.openxmlformats.org/officeDocument/2006/relationships/hyperlink" Target="https://eur-lex.europa.eu/legal-content/EN/TXT/?uri=CELEX:32014R0910" TargetMode="External"/><Relationship Id="rId13" Type="http://schemas.openxmlformats.org/officeDocument/2006/relationships/hyperlink" Target="https://www.bundesgerichtshof.de/SharedDocs/Entscheidungen/DE/Zivilsenate/VIII_ZS/2023/VIII_ZR_155-23.pdf?__blob=publicationFile&amp;v=1" TargetMode="External"/><Relationship Id="rId14" Type="http://schemas.openxmlformats.org/officeDocument/2006/relationships/hyperlink" Target="https://www.pkf-fasselt.de/artikel/buerokratieentlastung-und-arbeitsrech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