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rFonts w:ascii="Calibri" w:hAnsi="Calibri" w:eastAsia="Calibri"/>
          <w:b/>
          <w:color w:val="1F4E79"/>
          <w:sz w:val="44"/>
        </w:rPr>
        <w:t>ЭДО в Сербия</w:t>
      </w:r>
    </w:p>
    <w:p>
      <w:pPr>
        <w:spacing w:after="200"/>
      </w:pPr>
      <w:r>
        <w:rPr>
          <w:rFonts w:ascii="Calibri" w:hAnsi="Calibri" w:eastAsia="Calibri"/>
          <w:b w:val="0"/>
          <w:color w:val="535353"/>
          <w:sz w:val="26"/>
        </w:rPr>
        <w:t>Электронный документооборот в целом. Сравнение с Российской Федерацией</w:t>
      </w:r>
    </w:p>
    <w:p>
      <w:pPr>
        <w:spacing w:after="240"/>
      </w:pPr>
      <w:r>
        <w:rPr>
          <w:rFonts w:ascii="Calibri" w:hAnsi="Calibri" w:eastAsia="Calibri"/>
          <w:b w:val="0"/>
          <w:color w:val="535353"/>
          <w:sz w:val="22"/>
        </w:rPr>
        <w:t>Сравнительный анализ зарубежного регулирования электронного документооборота (ЭДО) с правовой моделью Российской Федерации. Актуализация: август 2026 г.</w:t>
      </w:r>
    </w:p>
    <w:p>
      <w:pPr>
        <w:pStyle w:val="Heading1"/>
      </w:pPr>
      <w:r>
        <w:t>1. Краткий обзор регулирования ЭДО</w:t>
      </w:r>
    </w:p>
    <w:p>
      <w:r>
        <w:rPr>
          <w:rFonts w:ascii="Calibri" w:hAnsi="Calibri" w:eastAsia="Calibri"/>
          <w:b w:val="0"/>
          <w:sz w:val="24"/>
        </w:rPr>
        <w:t>Основные акты: Закон об электронном документе, электронной идентификации и услугах доверия (Сл. гласник РС 94/2017, 52/2021); Судски пословник ст. 157а</w:t>
      </w:r>
    </w:p>
    <w:p>
      <w:r>
        <w:rPr>
          <w:rFonts w:ascii="Calibri" w:hAnsi="Calibri" w:eastAsia="Calibri"/>
          <w:b w:val="0"/>
          <w:sz w:val="24"/>
        </w:rPr>
        <w:t>Сербский закон 2017/2021 гг. скопировал логику eIDAS: простая, усовершенствованная и квалифицированная подпись; QES = собственноручная. Сделки, требующие нотариального удостоверения, электронной подписью не подписываются.</w:t>
      </w:r>
    </w:p>
    <w:p>
      <w:r>
        <w:rPr>
          <w:rFonts w:ascii="Calibri" w:hAnsi="Calibri" w:eastAsia="Calibri"/>
          <w:b w:val="0"/>
          <w:sz w:val="24"/>
        </w:rPr>
        <w:t>Практика судов формалистична. Конституционный суд (ноябрь 2023 г.) не счёл электронную жалобу поданной, потому что она ушла не на адрес для электронных подач и не была подписана QES заявителя. Апелляционный суд в Нише (Gž 1664/20, 16.09.2020) отклонил электронную апелляцию адвоката без квалифицированного сертификата как неполную (нет подписи).</w:t>
      </w:r>
    </w:p>
    <w:p>
      <w:r>
        <w:rPr>
          <w:rFonts w:ascii="Calibri" w:hAnsi="Calibri" w:eastAsia="Calibri"/>
          <w:b w:val="0"/>
          <w:sz w:val="24"/>
        </w:rPr>
        <w:t>Трудовой закон сохраняет формальный уклон: электронное оформление трудовых документов на практике рискованно, пока специальная норма не скажет иное. Это важный контраст с законом об электронном документе, который сам по себе «разрешает» ЭДО.</w:t>
      </w:r>
    </w:p>
    <w:p>
      <w:pPr>
        <w:pStyle w:val="Heading1"/>
      </w:pPr>
      <w:r>
        <w:t>2. Ключевые особенности</w:t>
      </w:r>
    </w:p>
    <w:p>
      <w:pPr>
        <w:pStyle w:val="ListBullet"/>
      </w:pPr>
      <w:r>
        <w:rPr>
          <w:rFonts w:ascii="Calibri" w:hAnsi="Calibri" w:eastAsia="Calibri"/>
          <w:b w:val="0"/>
          <w:sz w:val="24"/>
        </w:rPr>
        <w:t>eIDAS‑подобная иерархия без членства в ЕС.</w:t>
      </w:r>
    </w:p>
    <w:p>
      <w:pPr>
        <w:pStyle w:val="ListBullet"/>
      </w:pPr>
      <w:r>
        <w:rPr>
          <w:rFonts w:ascii="Calibri" w:hAnsi="Calibri" w:eastAsia="Calibri"/>
          <w:b w:val="0"/>
          <w:sz w:val="24"/>
        </w:rPr>
        <w:t>Судебная подача = QES, иначе документ не существует для срока.</w:t>
      </w:r>
    </w:p>
    <w:p>
      <w:pPr>
        <w:pStyle w:val="ListBullet"/>
      </w:pPr>
      <w:r>
        <w:rPr>
          <w:rFonts w:ascii="Calibri" w:hAnsi="Calibri" w:eastAsia="Calibri"/>
          <w:b w:val="0"/>
          <w:sz w:val="24"/>
        </w:rPr>
        <w:t>Разрыв между IT‑законом и трудовым формализмом.</w:t>
      </w:r>
    </w:p>
    <w:p>
      <w:pPr>
        <w:pStyle w:val="Heading1"/>
      </w:pPr>
      <w:r>
        <w:t>3. База для сравнения: ЭДО в Российской Федерации</w:t>
      </w:r>
    </w:p>
    <w:p>
      <w:pPr>
        <w:pStyle w:val="ListBullet"/>
      </w:pPr>
      <w:r>
        <w:rPr>
          <w:rFonts w:ascii="Calibri" w:hAnsi="Calibri" w:eastAsia="Calibri"/>
          <w:b w:val="0"/>
          <w:sz w:val="24"/>
        </w:rPr>
        <w:t>Юридическая сила электронного документа и подписи — прежде всего ФЗ от 06.04.2011 № 63‑ФЗ (ПЭП / УНЭП / УКЭП).</w:t>
      </w:r>
    </w:p>
    <w:p>
      <w:pPr>
        <w:pStyle w:val="ListBullet"/>
      </w:pPr>
      <w:r>
        <w:rPr>
          <w:rFonts w:ascii="Calibri" w:hAnsi="Calibri" w:eastAsia="Calibri"/>
          <w:b w:val="0"/>
          <w:sz w:val="24"/>
        </w:rPr>
        <w:t>B2B‑ЭДО (счета‑фактуры, УПД и др.) — через операторов ЭДО и отраслевые требования ФНС / Минфина.</w:t>
      </w:r>
    </w:p>
    <w:p>
      <w:pPr>
        <w:pStyle w:val="ListBullet"/>
      </w:pPr>
      <w:r>
        <w:rPr>
          <w:rFonts w:ascii="Calibri" w:hAnsi="Calibri" w:eastAsia="Calibri"/>
          <w:b w:val="0"/>
          <w:sz w:val="24"/>
        </w:rPr>
        <w:t>Кадровый ЭДО — ст. 22.1–22.3 ТК РФ (согласие работника, виды ЭП, исключения).</w:t>
      </w:r>
    </w:p>
    <w:p>
      <w:pPr>
        <w:pStyle w:val="ListBullet"/>
      </w:pPr>
      <w:r>
        <w:rPr>
          <w:rFonts w:ascii="Calibri" w:hAnsi="Calibri" w:eastAsia="Calibri"/>
          <w:b w:val="0"/>
          <w:sz w:val="24"/>
        </w:rPr>
        <w:t>Трансграничное признание иностранных ЭП — ст. 7 63‑ФЗ: международные договоры, соглашение сторон, существенная эквивалентность; в ЕАЭС — через службу доверенной третьей стороны (ДТС).</w:t>
      </w:r>
    </w:p>
    <w:p>
      <w:pPr>
        <w:pStyle w:val="ListBullet"/>
      </w:pPr>
      <w:r>
        <w:rPr>
          <w:rFonts w:ascii="Calibri" w:hAnsi="Calibri" w:eastAsia="Calibri"/>
          <w:b w:val="0"/>
          <w:sz w:val="24"/>
        </w:rPr>
        <w:t>С августа 2026: ФЗ от 04.08.2026 № 315‑ФЗ — правила УКЭП для международных (межправительственных) организаций и их филиалов/представительств в РФ; квалифицированный сертификат выдаёт УЦ ФНС России.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ФЗ от 06.04.2011 № 63‑ФЗ «Об электронной подписи»: </w:t>
      </w:r>
      <w:hyperlink r:id="rId9">
        <w:r>
          <w:rPr>
            <w:color w:val="0563C1"/>
            <w:u w:val="single"/>
            <w:sz w:val="22"/>
            <w:rFonts w:ascii="Calibri" w:hAnsi="Calibri"/>
          </w:rPr>
          <w:t xml:space="preserve">https://www.consultant.ru/document/cons_doc_LAW_112701/</w:t>
        </w:r>
      </w:hyperlink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ТК РФ, ст. 22.1–22.3 (кадровый ЭДО): </w:t>
      </w:r>
      <w:hyperlink r:id="rId10">
        <w:r>
          <w:rPr>
            <w:color w:val="0563C1"/>
            <w:u w:val="single"/>
            <w:sz w:val="22"/>
            <w:rFonts w:ascii="Calibri" w:hAnsi="Calibri"/>
          </w:rPr>
          <w:t xml:space="preserve">https://www.consultant.ru/document/cons_doc_LAW_34683/</w:t>
        </w:r>
      </w:hyperlink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ФЗ от 04.08.2026 № 315‑ФЗ (УКЭП международных организаций): </w:t>
      </w:r>
      <w:hyperlink r:id="rId11">
        <w:r>
          <w:rPr>
            <w:color w:val="0563C1"/>
            <w:u w:val="single"/>
            <w:sz w:val="22"/>
            <w:rFonts w:ascii="Calibri" w:hAnsi="Calibri"/>
          </w:rPr>
          <w:t xml:space="preserve">http://kremlin.ru/acts/news/80444</w:t>
        </w:r>
      </w:hyperlink>
    </w:p>
    <w:p>
      <w:pPr>
        <w:pStyle w:val="Heading1"/>
      </w:pPr>
      <w:r>
        <w:t>4. Сравнительный анализ с ЭДО РФ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c>
          <w:tcPr>
            <w:tcW w:type="dxa" w:w="3175"/>
            <w:shd w:fill="1F4E79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Параметр</w:t>
            </w:r>
          </w:p>
        </w:tc>
        <w:tc>
          <w:tcPr>
            <w:tcW w:type="dxa" w:w="3175"/>
            <w:shd w:fill="1F4E79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Сербия</w:t>
            </w:r>
          </w:p>
        </w:tc>
        <w:tc>
          <w:tcPr>
            <w:tcW w:type="dxa" w:w="3175"/>
            <w:shd w:fill="1F4E79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Российская Федерация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Юридическая сила</w:t>
            </w:r>
          </w:p>
        </w:tc>
        <w:tc>
          <w:tcPr>
            <w:tcW w:type="dxa" w:w="317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QES имеет силу собственноручной подписи (ст. 20 закона). Простая ЭП не отвергается только из‑за электронной формы, но для «подписи» в формальных процедурах суды требуют QES</w:t>
            </w:r>
          </w:p>
        </w:tc>
        <w:tc>
          <w:tcPr>
            <w:tcW w:type="dxa" w:w="317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Эл. документ с ЭП признаётся при соблюдении вида подписи и закона/соглашения (63‑ФЗ)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Модель подписи</w:t>
            </w:r>
          </w:p>
        </w:tc>
        <w:tc>
          <w:tcPr>
            <w:tcW w:type="dxa" w:w="317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SES / AES / QES по модели eIDAS</w:t>
            </w:r>
          </w:p>
        </w:tc>
        <w:tc>
          <w:tcPr>
            <w:tcW w:type="dxa" w:w="317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ПЭП / УНЭП / УКЭП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Инфраструктура доверия</w:t>
            </w:r>
          </w:p>
        </w:tc>
        <w:tc>
          <w:tcPr>
            <w:tcW w:type="dxa" w:w="317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Квалифицированные удостоверяющие сервисы; для суда — QES + правильный адрес подачи</w:t>
            </w:r>
          </w:p>
        </w:tc>
        <w:tc>
          <w:tcPr>
            <w:tcW w:type="dxa" w:w="317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Аккредитованные УЦ, операторы ЭДО, УЦ ФНС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Трансграничность</w:t>
            </w:r>
          </w:p>
        </w:tc>
        <w:tc>
          <w:tcPr>
            <w:tcW w:type="dxa" w:w="317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Выравнивание с eIDAS; автоматического взаимного признания с ЕС как у государств‑членов нет</w:t>
            </w:r>
          </w:p>
        </w:tc>
        <w:tc>
          <w:tcPr>
            <w:tcW w:type="dxa" w:w="317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Ст. 7 63‑ФЗ, договоры, ДТС ЕАЭС; 315‑ФЗ — УКЭП международных организаций</w:t>
            </w:r>
          </w:p>
        </w:tc>
      </w:tr>
    </w:tbl>
    <w:p/>
    <w:p>
      <w:pPr>
        <w:pStyle w:val="ListBullet"/>
      </w:pPr>
      <w:r>
        <w:rPr>
          <w:rFonts w:ascii="Calibri" w:hAnsi="Calibri" w:eastAsia="Calibri"/>
          <w:b w:val="0"/>
          <w:sz w:val="24"/>
        </w:rPr>
        <w:t>Сходство с РФ: квалифицированная подпись как замена собственноручной; суды чувствительны к виду ЭП.</w:t>
      </w:r>
    </w:p>
    <w:p>
      <w:pPr>
        <w:pStyle w:val="ListBullet"/>
      </w:pPr>
      <w:r>
        <w:rPr>
          <w:rFonts w:ascii="Calibri" w:hAnsi="Calibri" w:eastAsia="Calibri"/>
          <w:b w:val="0"/>
          <w:sz w:val="24"/>
        </w:rPr>
        <w:t>Отличие: в РФ КЭДО специально урегулирован ст. 22.1–22.3 ТК; в Сербии трудового ЭДО‑режима почти нет.</w:t>
      </w:r>
    </w:p>
    <w:p>
      <w:pPr>
        <w:pStyle w:val="ListBullet"/>
      </w:pPr>
      <w:r>
        <w:rPr>
          <w:rFonts w:ascii="Calibri" w:hAnsi="Calibri" w:eastAsia="Calibri"/>
          <w:b w:val="0"/>
          <w:sz w:val="24"/>
        </w:rPr>
        <w:t>Отличие: сербские суды для процессуальных документов требуют именно QES — жёстче, чем свободная оценка pantallazos в Испании.</w:t>
      </w:r>
    </w:p>
    <w:p>
      <w:pPr>
        <w:pStyle w:val="Heading1"/>
      </w:pPr>
      <w:r>
        <w:t>5. Что из этой практики можно добавить в РФ</w:t>
      </w:r>
    </w:p>
    <w:p>
      <w:pPr>
        <w:pStyle w:val="ListBullet"/>
      </w:pPr>
      <w:r>
        <w:rPr>
          <w:rFonts w:ascii="Calibri" w:hAnsi="Calibri" w:eastAsia="Calibri"/>
          <w:b w:val="0"/>
          <w:sz w:val="24"/>
        </w:rPr>
        <w:t>Явно прописать канал подачи и вид ЭП (как ст. 157а Судског пословника) — иначе «электронно отправили, срок пропущен».</w:t>
      </w:r>
    </w:p>
    <w:p>
      <w:pPr>
        <w:pStyle w:val="Heading1"/>
      </w:pPr>
      <w:r>
        <w:t>6. Что не стоит заимствовать / лучше не ужесточать</w:t>
      </w:r>
    </w:p>
    <w:p>
      <w:pPr>
        <w:pStyle w:val="ListBullet"/>
      </w:pPr>
      <w:r>
        <w:rPr>
          <w:rFonts w:ascii="Calibri" w:hAnsi="Calibri" w:eastAsia="Calibri"/>
          <w:b w:val="0"/>
          <w:sz w:val="24"/>
        </w:rPr>
        <w:t>Не переносить процессуальный формализм QES на все журналы ОТ: Сербия сама для большинства форм ОТ разрешила электронику, но оставила бумагу для учёта обученных (Form 6).</w:t>
      </w:r>
    </w:p>
    <w:p>
      <w:pPr>
        <w:pStyle w:val="Heading1"/>
      </w:pPr>
      <w:r>
        <w:t>7. Источники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Подача жалобы e‑mail / QES, Конституционный суд, XI.2023 (обзор PR Legal): </w:t>
      </w:r>
      <w:hyperlink r:id="rId12">
        <w:r>
          <w:rPr>
            <w:color w:val="0563C1"/>
            <w:u w:val="single"/>
            <w:sz w:val="22"/>
            <w:rFonts w:ascii="Calibri" w:hAnsi="Calibri"/>
          </w:rPr>
          <w:t xml:space="preserve">https://www.prlegal.rs/filing-a-complaint-via-email-yes-it-is-possible/</w:t>
        </w:r>
      </w:hyperlink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Высший суд Ниша: приём электронных подач, QES: </w:t>
      </w:r>
      <w:hyperlink r:id="rId13">
        <w:r>
          <w:rPr>
            <w:color w:val="0563C1"/>
            <w:u w:val="single"/>
            <w:sz w:val="22"/>
            <w:rFonts w:ascii="Calibri" w:hAnsi="Calibri"/>
          </w:rPr>
          <w:t xml:space="preserve">https://ni.vi.sud.rs/tekst/1958/prijem-elektronskih-podnesaka.php</w:t>
        </w:r>
      </w:hyperlink>
    </w:p>
    <w:sectPr w:rsidR="00FC693F" w:rsidRPr="0006063C" w:rsidSect="00034616">
      <w:pgSz w:w="11906" w:h="16838"/>
      <w:pgMar w:top="1134" w:right="1134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40" w:lineRule="auto"/>
    </w:pPr>
    <w:rPr>
      <w:rFonts w:ascii="Calibri" w:hAnsi="Calibri" w:eastAsia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Calibri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consultant.ru/document/cons_doc_LAW_112701/" TargetMode="External"/><Relationship Id="rId10" Type="http://schemas.openxmlformats.org/officeDocument/2006/relationships/hyperlink" Target="https://www.consultant.ru/document/cons_doc_LAW_34683/" TargetMode="External"/><Relationship Id="rId11" Type="http://schemas.openxmlformats.org/officeDocument/2006/relationships/hyperlink" Target="http://kremlin.ru/acts/news/80444" TargetMode="External"/><Relationship Id="rId12" Type="http://schemas.openxmlformats.org/officeDocument/2006/relationships/hyperlink" Target="https://www.prlegal.rs/filing-a-complaint-via-email-yes-it-is-possible/" TargetMode="External"/><Relationship Id="rId13" Type="http://schemas.openxmlformats.org/officeDocument/2006/relationships/hyperlink" Target="https://ni.vi.sud.rs/tekst/1958/prijem-elektronskih-podnesaka.ph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