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ЭДО в охране труда: Германия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Электронные документы обучения, инструктажа, учёта НС. Сравнение с РФ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Регулирование ЭДО в охране труда</w:t>
      </w:r>
    </w:p>
    <w:p>
      <w:r>
        <w:rPr>
          <w:rFonts w:ascii="Calibri" w:hAnsi="Calibri" w:eastAsia="Calibri"/>
          <w:b w:val="0"/>
          <w:sz w:val="24"/>
        </w:rPr>
        <w:t>Основные акты: Arbeitsschutzgesetz (ArbSchG) §§ 5, 12; DGUV Vorschrift 1; Gefahrstoffverordnung § 14; BEG IV (трудовая форма, 2025)</w:t>
      </w:r>
    </w:p>
    <w:p>
      <w:r>
        <w:rPr>
          <w:rFonts w:ascii="Calibri" w:hAnsi="Calibri" w:eastAsia="Calibri"/>
          <w:b w:val="0"/>
          <w:sz w:val="24"/>
        </w:rPr>
        <w:t>§ 12 ArbSchG обязывает работодателя инструктировать работников (Unterweisung) с учётом рабочего места и задач. Это содержательная обязанность, а не требование вести бумажный журнал с личной подписью.</w:t>
      </w:r>
    </w:p>
    <w:p>
      <w:r>
        <w:rPr>
          <w:rFonts w:ascii="Calibri" w:hAnsi="Calibri" w:eastAsia="Calibri"/>
          <w:b w:val="0"/>
          <w:sz w:val="24"/>
        </w:rPr>
        <w:t>BAG (1 ABR 104/09) прямо связал инструктаж с оценкой рисков (§ 5 ArbSchG): общие «беседы по охране труда» без привязки к конкретным опасностям не выполняют закон. Для ЭДО в ОТ это ключевой вывод: электронный курс, не привязанный к Gefährdungsbeurteilung, так же уязвим, как пустой бумажный журнал.</w:t>
      </w:r>
    </w:p>
    <w:p>
      <w:r>
        <w:rPr>
          <w:rFonts w:ascii="Calibri" w:hAnsi="Calibri" w:eastAsia="Calibri"/>
          <w:b w:val="0"/>
          <w:sz w:val="24"/>
        </w:rPr>
        <w:t>Практика DGUV и комментарии к GefStoffV § 14: подтверждение инструктажа по опасным веществам может быть электронным; квалифицированная ЭП не требуется. Цифровой Unterweisung признаётся, если система фиксирует дату, участника, содержание и защищает запись.</w:t>
      </w:r>
    </w:p>
    <w:p>
      <w:r>
        <w:rPr>
          <w:rFonts w:ascii="Calibri" w:hAnsi="Calibri" w:eastAsia="Calibri"/>
          <w:b w:val="0"/>
          <w:sz w:val="24"/>
        </w:rPr>
        <w:t>В отличие от РФ, в Германии нет нормы, которая выводила бы журналы инструктажей и акты НС из электронного оборота. Ограничения — в доказательственной силе конкретной системы, а не в статутном запрете.</w:t>
      </w:r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Нет аналога ст. 22.1(3) ТК РФ.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Суды проверяют содержание инструктажа и его связь с оценкой рисков, а не наличие «мокрой» подписи.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Электронная фиксация допустима при долговечности и защите от несанкционированных правок.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BEG IV облегчил кадровую форму, но не подменил собой обязанности ArbSchG.</w:t>
      </w:r>
    </w:p>
    <w:p>
      <w:pPr>
        <w:pStyle w:val="Heading1"/>
      </w:pPr>
      <w:r>
        <w:t>3. База для сравнения: ЭДО в ОТ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Кадровый ЭДО — ст. 22.1–22.3 ТК РФ: согласие работника, виды ЭП, исключения.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Ч. 3 ст. 22.1 ТК РФ прямо исключает из кадрового ЭДО документы о прохождении работником инструктажа по охране труда и акты о несчастном случае на производстве.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Обучение / инструктажи по ОТ — постановление Правительства РФ от 24.12.2021 № 2464; на практике журналы инструктажей ведутся на бумаге именно из‑за исключения ст. 22.1(3).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Юридическая сила электронной подписи — 63‑ФЗ (ПЭП / УНЭП / УКЭП). Для кадровых документов с 2022 г. — ст. 22.2–22.3 ТК.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ТК РФ, ст. 22.1 ч. 3 (исключения из кадрового ЭДО):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ПП РФ от 24.12.2021 № 2464 (обучение по охране труда):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06.04.2011 № 63‑ФЗ «Об электронной подписи»: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Heading1"/>
      </w:pPr>
      <w:r>
        <w:t>4. Сравнение с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Германия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Российская Федерация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Юридическая сила записей ОТ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Для обычного Unterweisung закон не требует собственноручной подписи — достаточно документирования. Электронная фиксация допустима, если запись долговечна и защищена от правок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Журналы инструктажей и акты НС исключены из кадрового ЭДО (ст. 22.1 ч. 3 ТК РФ)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Подпись / форма журнала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Подпись работника на инструктаже — не конститутивный элемент § 12 ArbSchG. Для GefStoffV § 14 подтверждение может быть электронным; QES не обязательна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практике — бумажный журнал; КЭДО на эти документы не распространяется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Доверие / система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Внутренние LMS / документация работодателя; при споре — свободная оценка доказательств, а не аккредитованный оператор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Бумажный журнал + ПП 2464; операторы КЭДО — для иных кадровых документов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4"/>
        </w:rPr>
        <w:t>Сходство: и там, и там работодатель обязан обучать/инструктировать и быть способным это доказать.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РФ статутно исключает журналы инструктажей и акты НС из КЭДО; Германия такого запрета не знает.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немецкая модель ближе к «документированию факта инструктажа», российская — к «отдельному бумажному журналу как самостоятельному документу».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Для заимствования: Германия показывает, что можно легализовать e‑инструктаж без обязательной УКЭП на каждую отметку.</w:t>
      </w:r>
    </w:p>
    <w:p>
      <w:pPr>
        <w:pStyle w:val="Heading1"/>
      </w:pPr>
      <w:r>
        <w:t>5. Что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Снять или сузить исключение ст. 22.1(3) ТК для журналов инструктажей, оставив повышенные требования к идентификации и неизменности записи (как в Беларуси / по смыслу немецкого документирования).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В методиках Минтруда закрепить, что электронный инструктаж должен опираться на оценку рисков (аналог связки §§ 12 и 5 ArbSchG).</w:t>
      </w:r>
    </w:p>
    <w:p>
      <w:pPr>
        <w:pStyle w:val="Heading1"/>
      </w:pPr>
      <w:r>
        <w:t>6. Что не стоит переносить механически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 копировать немецкую «отсутствие подписи» без компенсаторов: в РФ журнал исторически — основное доказательство прохождения инструктажа.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 считать LMS‑клик доказательством, если курс не связан с конкретными опасностями рабочего места.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BAG 1 ABR 104/09 (11.01.2011):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https://www.bundesarbeitsgericht.de/entscheidung/1-abr-104-09/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ArbSchG (gesetze-im-internet):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https://www.gesetze-im-internet.de/arbschg/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34683/" TargetMode="External"/><Relationship Id="rId10" Type="http://schemas.openxmlformats.org/officeDocument/2006/relationships/hyperlink" Target="https://www.consultant.ru/document/cons_doc_LAW_405146/" TargetMode="External"/><Relationship Id="rId11" Type="http://schemas.openxmlformats.org/officeDocument/2006/relationships/hyperlink" Target="https://www.consultant.ru/document/cons_doc_LAW_112701/" TargetMode="External"/><Relationship Id="rId12" Type="http://schemas.openxmlformats.org/officeDocument/2006/relationships/hyperlink" Target="https://www.bundesarbeitsgericht.de/entscheidung/1-abr-104-09/" TargetMode="External"/><Relationship Id="rId13" Type="http://schemas.openxmlformats.org/officeDocument/2006/relationships/hyperlink" Target="https://www.gesetze-im-internet.de/arbsch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