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color w:val="1F4E79"/>
          <w:sz w:val="44"/>
        </w:rPr>
        <w:t>ЭДО в охране труда: Беларусь</w:t>
      </w:r>
    </w:p>
    <w:p>
      <w:pPr>
        <w:spacing w:after="200"/>
      </w:pPr>
      <w:r>
        <w:rPr>
          <w:rFonts w:ascii="Calibri" w:hAnsi="Calibri" w:eastAsia="Calibri"/>
          <w:b w:val="0"/>
          <w:color w:val="535353"/>
          <w:sz w:val="26"/>
        </w:rPr>
        <w:t>Электронные документы обучения, инструктажа, учёта НС. Сравнение с РФ</w:t>
      </w:r>
    </w:p>
    <w:p>
      <w:pPr>
        <w:spacing w:after="240"/>
      </w:pPr>
      <w:r>
        <w:rPr>
          <w:rFonts w:ascii="Calibri" w:hAnsi="Calibri" w:eastAsia="Calibri"/>
          <w:b w:val="0"/>
          <w:color w:val="535353"/>
          <w:sz w:val="22"/>
        </w:rPr>
        <w:t>Сравнительный анализ зарубежного регулирования электронного документооборота (ЭДО) с правовой моделью Российской Федерации. Актуализация: август 2026 г.</w:t>
      </w:r>
    </w:p>
    <w:p>
      <w:pPr>
        <w:pStyle w:val="Heading1"/>
      </w:pPr>
      <w:r>
        <w:t>1. Регулирование ЭДО в охране труда</w:t>
      </w:r>
    </w:p>
    <w:p>
      <w:r>
        <w:rPr>
          <w:rFonts w:ascii="Calibri" w:hAnsi="Calibri" w:eastAsia="Calibri"/>
          <w:b w:val="0"/>
          <w:sz w:val="24"/>
        </w:rPr>
        <w:t>Основные акты: Постановление Минтруда и соцзащиты РБ от 28.11.2008 № 175 (Инструкция об обучении/инструктаже), п. 35; Правила по охране труда (в т.ч. пост. № 53 — электронные документы ОТ при идентификации, метке времени и защите от правок)</w:t>
      </w:r>
    </w:p>
    <w:p>
      <w:r>
        <w:rPr>
          <w:rFonts w:ascii="Calibri" w:hAnsi="Calibri" w:eastAsia="Calibri"/>
          <w:b w:val="0"/>
          <w:sz w:val="24"/>
        </w:rPr>
        <w:t>Пункт 35 Инструкции № 175 — центральная норма для НИР. В редакции постановления Минтруда № 45 от 14.07.2022 прямо допускается электронная регистрация вводного, первичного, повторного, внепланового, целевого инструктажа и стажировки.</w:t>
      </w:r>
    </w:p>
    <w:p>
      <w:r>
        <w:rPr>
          <w:rFonts w:ascii="Calibri" w:hAnsi="Calibri" w:eastAsia="Calibri"/>
          <w:b w:val="0"/>
          <w:sz w:val="24"/>
        </w:rPr>
        <w:t>Условия: программные средства должны однозначно идентифицировать работников, фиксировать момент внесения записей и быть защищены от несанкционированного доступа и изменений. Это функциональная эквивалентность журнала, а не требование «УКЭП на каждую строку».</w:t>
      </w:r>
    </w:p>
    <w:p>
      <w:r>
        <w:rPr>
          <w:rFonts w:ascii="Calibri" w:hAnsi="Calibri" w:eastAsia="Calibri"/>
          <w:b w:val="0"/>
          <w:sz w:val="24"/>
        </w:rPr>
        <w:t>Более ранняя редакция (в т.ч. пост. № 54) допускала электронные журналы при наличии ЭЦП и у инструктирующего, и у прошедшего инструктаж — по Закону 113‑З. То есть Беларусь прошла путь от «ЭЦП обеих сторон» к «идентификация + неизменность».</w:t>
      </w:r>
    </w:p>
    <w:p>
      <w:r>
        <w:rPr>
          <w:rFonts w:ascii="Calibri" w:hAnsi="Calibri" w:eastAsia="Calibri"/>
          <w:b w:val="0"/>
          <w:sz w:val="24"/>
        </w:rPr>
        <w:t>Отдельные правила по охране труда допускают электронные документы ОТ и электронный учёт нарядов‑допусков при тех же гарантиях идентификации и защиты от правок.</w:t>
      </w:r>
    </w:p>
    <w:p>
      <w:pPr>
        <w:pStyle w:val="Heading1"/>
      </w:pPr>
      <w:r>
        <w:t>2. Ключевые особенности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Прямое разрешение электронного журнала инструктажа — антитеза ст. 22.1(3) ТК РФ.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Два исторических режима: ЭЦП обеих сторон → идентификация + timestamp.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Электронный наряд‑допуск / учёт работ повышенной опасности — в том же контуре.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Модель ближе к Казахстану, чем к ЕС.</w:t>
      </w:r>
    </w:p>
    <w:p>
      <w:pPr>
        <w:pStyle w:val="Heading1"/>
      </w:pPr>
      <w:r>
        <w:t>3. База для сравнения: ЭДО в ОТ в Российской Федерации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Кадровый ЭДО — ст. 22.1–22.3 ТК РФ: согласие работника, виды ЭП, исключения.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Ч. 3 ст. 22.1 ТК РФ прямо исключает из кадрового ЭДО документы о прохождении работником инструктажа по охране труда и акты о несчастном случае на производстве.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Обучение / инструктажи по ОТ — постановление Правительства РФ от 24.12.2021 № 2464; на практике журналы инструктажей ведутся на бумаге именно из‑за исключения ст. 22.1(3).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Юридическая сила электронной подписи — 63‑ФЗ (ПЭП / УНЭП / УКЭП). Для кадровых документов с 2022 г. — ст. 22.2–22.3 ТК.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ТК РФ, ст. 22.1 ч. 3 (исключения из кадрового ЭДО):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https://www.consultant.ru/document/cons_doc_LAW_34683/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ПП РФ от 24.12.2021 № 2464 (обучение по охране труда): </w:t>
      </w:r>
      <w:hyperlink r:id="rId10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https://www.consultant.ru/document/cons_doc_LAW_405146/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ФЗ от 06.04.2011 № 63‑ФЗ «Об электронной подписи»: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https://www.consultant.ru/document/cons_doc_LAW_112701/</w:t>
        </w:r>
      </w:hyperlink>
    </w:p>
    <w:p>
      <w:pPr>
        <w:pStyle w:val="Heading1"/>
      </w:pPr>
      <w:r>
        <w:t>4. Сравнение с РФ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3175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Беларусь</w:t>
            </w:r>
          </w:p>
        </w:tc>
        <w:tc>
          <w:tcPr>
            <w:tcW w:type="dxa" w:w="3175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Российская Федерация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Юридическая сила записей ОТ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Регистрация всех видов инструктажа и стажировки допускается в электронном виде при идентификации работника, фиксации времени записи и защите от несанкционированных изменений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Журналы инструктажей и акты НС исключены из кадрового ЭДО (ст. 22.1 ч. 3 ТК РФ)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Подпись / форма журнала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Ранее (ред. с ЭЦП обеих сторон) журнал оформлялся как электронный документ по 113‑З. Актуальная ред. п. 35 (пост. № 45 от 14.07.2022) делает акцент на идентификации + timestamp + целостности, не обязательно требуя ЭЦП у каждого рабочего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На практике — бумажный журнал; КЭДО на эти документы не распространяется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Доверие / система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Программные средства работодателя; при ЭЦП — 113‑З; целостность важнее «картинки подписи»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Бумажный журнал + ПП 2464; операторы КЭДО — для иных кадровых документов</w:t>
            </w:r>
          </w:p>
        </w:tc>
      </w:tr>
    </w:tbl>
    <w:p/>
    <w:p>
      <w:pPr>
        <w:pStyle w:val="ListBullet"/>
      </w:pPr>
      <w:r>
        <w:rPr>
          <w:rFonts w:ascii="Calibri" w:hAnsi="Calibri" w:eastAsia="Calibri"/>
          <w:b w:val="0"/>
          <w:sz w:val="24"/>
        </w:rPr>
        <w:t>Сходство с РФ: общая постсоветская конструкция журналов инструктажей и обучения по ОТ.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Ключевое отличие: Беларусь легализовала электронный журнал; РФ исключила его из КЭДО.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Отличие от Германии: Беларусь сохраняет журнал как формальный регистр, но переносит его на электронный носитель; Германия вообще не делает подпись конститутивным элементом инструктажа.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Для РФ это самый «переносимый» образец: та же терминология журналов, иное правило о носителе.</w:t>
      </w:r>
    </w:p>
    <w:p>
      <w:pPr>
        <w:pStyle w:val="Heading1"/>
      </w:pPr>
      <w:r>
        <w:t>5. Что можно добавить в РФ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Норму в духе п. 35 Инструкции № 175: электронный журнал при идентификации, метке времени и запрете скрытых правок.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Не требовать УКЭП у каждого рабочего, если система надёжно идентифицирует его (как актуальная белорусская редакция).</w:t>
      </w:r>
    </w:p>
    <w:p>
      <w:pPr>
        <w:pStyle w:val="Heading1"/>
      </w:pPr>
      <w:r>
        <w:t>6. Что не стоит переносить механически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Не оставлять «электронный журнал» без защиты от редактирования задним числом — иначе это хуже бумаги.</w:t>
      </w:r>
    </w:p>
    <w:p>
      <w:pPr>
        <w:pStyle w:val="Heading1"/>
      </w:pPr>
      <w:r>
        <w:t>7. Источники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Инструкция № 175, актуальный PDF Минтруда (п. 35): </w:t>
      </w:r>
      <w:hyperlink r:id="rId12">
        <w:r>
          <w:rPr>
            <w:color w:val="0563C1"/>
            <w:u w:val="single"/>
            <w:sz w:val="22"/>
            <w:rFonts w:ascii="Calibri" w:hAnsi="Calibri"/>
          </w:rPr>
          <w:t xml:space="preserve">https://www.mintrud.gov.by/uploads/files/MTiSZ-175-po-sost.-na-02.09.2024.pdf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PDF постановления № 175 (сводная ред.): </w:t>
      </w:r>
      <w:hyperlink r:id="rId13">
        <w:r>
          <w:rPr>
            <w:color w:val="0563C1"/>
            <w:u w:val="single"/>
            <w:sz w:val="22"/>
            <w:rFonts w:ascii="Calibri" w:hAnsi="Calibri"/>
          </w:rPr>
          <w:t xml:space="preserve">https://mintrud.gov.by/uploads/files/Post-MTSZ-175.pdf</w:t>
        </w:r>
      </w:hyperlink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onsultant.ru/document/cons_doc_LAW_34683/" TargetMode="External"/><Relationship Id="rId10" Type="http://schemas.openxmlformats.org/officeDocument/2006/relationships/hyperlink" Target="https://www.consultant.ru/document/cons_doc_LAW_405146/" TargetMode="External"/><Relationship Id="rId11" Type="http://schemas.openxmlformats.org/officeDocument/2006/relationships/hyperlink" Target="https://www.consultant.ru/document/cons_doc_LAW_112701/" TargetMode="External"/><Relationship Id="rId12" Type="http://schemas.openxmlformats.org/officeDocument/2006/relationships/hyperlink" Target="https://www.mintrud.gov.by/uploads/files/MTiSZ-175-po-sost.-na-02.09.2024.pdf" TargetMode="External"/><Relationship Id="rId13" Type="http://schemas.openxmlformats.org/officeDocument/2006/relationships/hyperlink" Target="https://mintrud.gov.by/uploads/files/Post-MTSZ-175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