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rFonts w:ascii="Calibri" w:hAnsi="Calibri" w:eastAsia="Calibri"/>
          <w:b/>
          <w:color w:val="1F4E79"/>
          <w:sz w:val="44"/>
        </w:rPr>
        <w:t>ЭДО в охране труда: Испания</w:t>
      </w:r>
    </w:p>
    <w:p>
      <w:pPr>
        <w:spacing w:after="200"/>
      </w:pPr>
      <w:r>
        <w:rPr>
          <w:rFonts w:ascii="Calibri" w:hAnsi="Calibri" w:eastAsia="Calibri"/>
          <w:b w:val="0"/>
          <w:color w:val="535353"/>
          <w:sz w:val="26"/>
        </w:rPr>
        <w:t>Электронные документы обучения, инструктажа, учёта НС. Сравнение с РФ</w:t>
      </w:r>
    </w:p>
    <w:p>
      <w:pPr>
        <w:spacing w:after="240"/>
      </w:pPr>
      <w:r>
        <w:rPr>
          <w:rFonts w:ascii="Calibri" w:hAnsi="Calibri" w:eastAsia="Calibri"/>
          <w:b w:val="0"/>
          <w:color w:val="535353"/>
          <w:sz w:val="22"/>
        </w:rPr>
        <w:t>Сравнительный анализ зарубежного регулирования электронного документооборота (ЭДО) с правовой моделью Российской Федерации. Актуализация: август 2026 г.</w:t>
      </w:r>
    </w:p>
    <w:p>
      <w:pPr>
        <w:pStyle w:val="Heading1"/>
      </w:pPr>
      <w:r>
        <w:t>1. Регулирование ЭДО в охране труда</w:t>
      </w:r>
    </w:p>
    <w:p>
      <w:r>
        <w:rPr>
          <w:rFonts w:ascii="Calibri" w:hAnsi="Calibri" w:eastAsia="Calibri"/>
          <w:b w:val="0"/>
          <w:sz w:val="24"/>
        </w:rPr>
        <w:t>Основные акты: Ley 31/1995 de Prevención de Riesgos Laborales (LPRL), особенно art. 19 (formación); Estatuto de los Trabajadores art. 8; eIDAS / Ley 6/2020</w:t>
      </w:r>
    </w:p>
    <w:p>
      <w:r>
        <w:rPr>
          <w:rFonts w:ascii="Calibri" w:hAnsi="Calibri" w:eastAsia="Calibri"/>
          <w:b w:val="0"/>
          <w:sz w:val="24"/>
        </w:rPr>
        <w:t>LPRL 31/1995 обязывает работодателя обеспечить теоретическое и практическое обучение, достаточное и адекватное рискам (art. 19). Это содержательная обязанность. Отдельного «запрета электронного журнала» нет.</w:t>
      </w:r>
    </w:p>
    <w:p>
      <w:r>
        <w:rPr>
          <w:rFonts w:ascii="Calibri" w:hAnsi="Calibri" w:eastAsia="Calibri"/>
          <w:b w:val="0"/>
          <w:sz w:val="24"/>
        </w:rPr>
        <w:t>Трудовые договоры, которые закон требует оформлять письменно (ET art. 8), могут подписываться электронной подписью. Комментарии (в т.ч. LEX/AHK, Dirección General de Empleo) подчёркивают: признанная ЭП — не скан картинки подписи. Для охраны труда тот же стандарт: «вставил PNG подписи в PDF» ≠ доказательство прохождения инструктажа.</w:t>
      </w:r>
    </w:p>
    <w:p>
      <w:r>
        <w:rPr>
          <w:rFonts w:ascii="Calibri" w:hAnsi="Calibri" w:eastAsia="Calibri"/>
          <w:b w:val="0"/>
          <w:sz w:val="24"/>
        </w:rPr>
        <w:t>Если работодатель ведёт электронный учёт обучения через квалифицированный сервис доверия, в гражданском/трудовом процессе он получает презумпцию LEC 326.4. Если это LMS‑логи без квалифицированной услуги — суд оценит их как любые электронные документы, вплоть до pantallazos, без презумпции.</w:t>
      </w:r>
    </w:p>
    <w:p>
      <w:pPr>
        <w:pStyle w:val="Heading1"/>
      </w:pPr>
      <w:r>
        <w:t>2. Ключевые особенности</w:t>
      </w:r>
    </w:p>
    <w:p>
      <w:pPr>
        <w:pStyle w:val="ListBullet"/>
      </w:pPr>
      <w:r>
        <w:rPr>
          <w:rFonts w:ascii="Calibri" w:hAnsi="Calibri" w:eastAsia="Calibri"/>
          <w:b w:val="0"/>
          <w:sz w:val="24"/>
        </w:rPr>
        <w:t>Нет аналога ст. 22.1(3) ТК.</w:t>
      </w:r>
    </w:p>
    <w:p>
      <w:pPr>
        <w:pStyle w:val="ListBullet"/>
      </w:pPr>
      <w:r>
        <w:rPr>
          <w:rFonts w:ascii="Calibri" w:hAnsi="Calibri" w:eastAsia="Calibri"/>
          <w:b w:val="0"/>
          <w:sz w:val="24"/>
        </w:rPr>
        <w:t>Art. 19 LPRL = доказать факт и адекватность обучения, не «прошнурованный журнал».</w:t>
      </w:r>
    </w:p>
    <w:p>
      <w:pPr>
        <w:pStyle w:val="ListBullet"/>
      </w:pPr>
      <w:r>
        <w:rPr>
          <w:rFonts w:ascii="Calibri" w:hAnsi="Calibri" w:eastAsia="Calibri"/>
          <w:b w:val="0"/>
          <w:sz w:val="24"/>
        </w:rPr>
        <w:t>QES/квалифицированный сервис резко усиливает позицию работодателя при оспаривании записи.</w:t>
      </w:r>
    </w:p>
    <w:p>
      <w:pPr>
        <w:pStyle w:val="Heading1"/>
      </w:pPr>
      <w:r>
        <w:t>3. База для сравнения: ЭДО в ОТ в Российской Федерации</w:t>
      </w:r>
    </w:p>
    <w:p>
      <w:pPr>
        <w:pStyle w:val="ListBullet"/>
      </w:pPr>
      <w:r>
        <w:rPr>
          <w:rFonts w:ascii="Calibri" w:hAnsi="Calibri" w:eastAsia="Calibri"/>
          <w:b w:val="0"/>
          <w:sz w:val="24"/>
        </w:rPr>
        <w:t>Кадровый ЭДО — ст. 22.1–22.3 ТК РФ: согласие работника, виды ЭП, исключения.</w:t>
      </w:r>
    </w:p>
    <w:p>
      <w:pPr>
        <w:pStyle w:val="ListBullet"/>
      </w:pPr>
      <w:r>
        <w:rPr>
          <w:rFonts w:ascii="Calibri" w:hAnsi="Calibri" w:eastAsia="Calibri"/>
          <w:b w:val="0"/>
          <w:sz w:val="24"/>
        </w:rPr>
        <w:t>Ч. 3 ст. 22.1 ТК РФ прямо исключает из кадрового ЭДО документы о прохождении работником инструктажа по охране труда и акты о несчастном случае на производстве.</w:t>
      </w:r>
    </w:p>
    <w:p>
      <w:pPr>
        <w:pStyle w:val="ListBullet"/>
      </w:pPr>
      <w:r>
        <w:rPr>
          <w:rFonts w:ascii="Calibri" w:hAnsi="Calibri" w:eastAsia="Calibri"/>
          <w:b w:val="0"/>
          <w:sz w:val="24"/>
        </w:rPr>
        <w:t>Обучение / инструктажи по ОТ — постановление Правительства РФ от 24.12.2021 № 2464; на практике журналы инструктажей ведутся на бумаге именно из‑за исключения ст. 22.1(3).</w:t>
      </w:r>
    </w:p>
    <w:p>
      <w:pPr>
        <w:pStyle w:val="ListBullet"/>
      </w:pPr>
      <w:r>
        <w:rPr>
          <w:rFonts w:ascii="Calibri" w:hAnsi="Calibri" w:eastAsia="Calibri"/>
          <w:b w:val="0"/>
          <w:sz w:val="24"/>
        </w:rPr>
        <w:t>Юридическая сила электронной подписи — 63‑ФЗ (ПЭП / УНЭП / УКЭП). Для кадровых документов с 2022 г. — ст. 22.2–22.3 ТК.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ТК РФ, ст. 22.1 ч. 3 (исключения из кадрового ЭДО): </w:t>
      </w:r>
      <w:hyperlink r:id="rId9">
        <w:r>
          <w:rPr>
            <w:color w:val="0563C1"/>
            <w:u w:val="single"/>
            <w:sz w:val="22"/>
            <w:rFonts w:ascii="Calibri" w:hAnsi="Calibri"/>
          </w:rPr>
          <w:t xml:space="preserve">https://www.consultant.ru/document/cons_doc_LAW_34683/</w:t>
        </w:r>
      </w:hyperlink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ПП РФ от 24.12.2021 № 2464 (обучение по охране труда): </w:t>
      </w:r>
      <w:hyperlink r:id="rId10">
        <w:r>
          <w:rPr>
            <w:color w:val="0563C1"/>
            <w:u w:val="single"/>
            <w:sz w:val="22"/>
            <w:rFonts w:ascii="Calibri" w:hAnsi="Calibri"/>
          </w:rPr>
          <w:t xml:space="preserve">https://www.consultant.ru/document/cons_doc_LAW_405146/</w:t>
        </w:r>
      </w:hyperlink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ФЗ от 06.04.2011 № 63‑ФЗ «Об электронной подписи»: </w:t>
      </w:r>
      <w:hyperlink r:id="rId11">
        <w:r>
          <w:rPr>
            <w:color w:val="0563C1"/>
            <w:u w:val="single"/>
            <w:sz w:val="22"/>
            <w:rFonts w:ascii="Calibri" w:hAnsi="Calibri"/>
          </w:rPr>
          <w:t xml:space="preserve">https://www.consultant.ru/document/cons_doc_LAW_112701/</w:t>
        </w:r>
      </w:hyperlink>
    </w:p>
    <w:p>
      <w:pPr>
        <w:pStyle w:val="Heading1"/>
      </w:pPr>
      <w:r>
        <w:t>4. Сравнение с РФ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c>
          <w:tcPr>
            <w:tcW w:type="dxa" w:w="3175"/>
            <w:shd w:fill="1F4E79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Параметр</w:t>
            </w:r>
          </w:p>
        </w:tc>
        <w:tc>
          <w:tcPr>
            <w:tcW w:type="dxa" w:w="3175"/>
            <w:shd w:fill="1F4E79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Испания</w:t>
            </w:r>
          </w:p>
        </w:tc>
        <w:tc>
          <w:tcPr>
            <w:tcW w:type="dxa" w:w="3175"/>
            <w:shd w:fill="1F4E79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Российская Федерация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Юридическая сила записей ОТ</w:t>
            </w:r>
          </w:p>
        </w:tc>
        <w:tc>
          <w:tcPr>
            <w:tcW w:type="dxa" w:w="317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Нет запрета ЕС/Испании на электронный учёт обучения по ОТ. Электронная подпись трудовых документов допустима, если обеспечены идентичность и целостность; QES даёт максимальную гарантию</w:t>
            </w:r>
          </w:p>
        </w:tc>
        <w:tc>
          <w:tcPr>
            <w:tcW w:type="dxa" w:w="317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Журналы инструктажей и акты НС исключены из кадрового ЭДО (ст. 22.1 ч. 3 ТК РФ)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Подпись / форма журнала</w:t>
            </w:r>
          </w:p>
        </w:tc>
        <w:tc>
          <w:tcPr>
            <w:tcW w:type="dxa" w:w="317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Для трудовых договоров на практике рекомендуют AES/QES; скан подписи комментарии DGE считают недопустимым. К журналам обучения закон не требует QES, но LEC 326.4 выгоден, если запись сделана через квалифицированный сервис</w:t>
            </w:r>
          </w:p>
        </w:tc>
        <w:tc>
          <w:tcPr>
            <w:tcW w:type="dxa" w:w="317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На практике — бумажный журнал; КЭДО на эти документы не распространяется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Доверие / система</w:t>
            </w:r>
          </w:p>
        </w:tc>
        <w:tc>
          <w:tcPr>
            <w:tcW w:type="dxa" w:w="317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QTSP либо внутренняя система + свободная оценка; при квалифицированном сервисе — презумпция 326.4</w:t>
            </w:r>
          </w:p>
        </w:tc>
        <w:tc>
          <w:tcPr>
            <w:tcW w:type="dxa" w:w="317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Бумажный журнал + ПП 2464; операторы КЭДО — для иных кадровых документов</w:t>
            </w:r>
          </w:p>
        </w:tc>
      </w:tr>
    </w:tbl>
    <w:p/>
    <w:p>
      <w:pPr>
        <w:pStyle w:val="ListBullet"/>
      </w:pPr>
      <w:r>
        <w:rPr>
          <w:rFonts w:ascii="Calibri" w:hAnsi="Calibri" w:eastAsia="Calibri"/>
          <w:b w:val="0"/>
          <w:sz w:val="24"/>
        </w:rPr>
        <w:t>Сходство: работодатель несёт бремя доказать обучение.</w:t>
      </w:r>
    </w:p>
    <w:p>
      <w:pPr>
        <w:pStyle w:val="ListBullet"/>
      </w:pPr>
      <w:r>
        <w:rPr>
          <w:rFonts w:ascii="Calibri" w:hAnsi="Calibri" w:eastAsia="Calibri"/>
          <w:b w:val="0"/>
          <w:sz w:val="24"/>
        </w:rPr>
        <w:t>Отличие: Испания не выводит обучение ОТ из ЭДО законом.</w:t>
      </w:r>
    </w:p>
    <w:p>
      <w:pPr>
        <w:pStyle w:val="ListBullet"/>
      </w:pPr>
      <w:r>
        <w:rPr>
          <w:rFonts w:ascii="Calibri" w:hAnsi="Calibri" w:eastAsia="Calibri"/>
          <w:b w:val="0"/>
          <w:sz w:val="24"/>
        </w:rPr>
        <w:t>Отличие от Франции: презумпция привязана к квалифицированному сервису в процессе (LEC), а не только к QES в ГК.</w:t>
      </w:r>
    </w:p>
    <w:p>
      <w:pPr>
        <w:pStyle w:val="Heading1"/>
      </w:pPr>
      <w:r>
        <w:t>5. Что можно добавить в РФ</w:t>
      </w:r>
    </w:p>
    <w:p>
      <w:pPr>
        <w:pStyle w:val="ListBullet"/>
      </w:pPr>
      <w:r>
        <w:rPr>
          <w:rFonts w:ascii="Calibri" w:hAnsi="Calibri" w:eastAsia="Calibri"/>
          <w:b w:val="0"/>
          <w:sz w:val="24"/>
        </w:rPr>
        <w:t>Связать электронный журнал ОТ с квалифицированной меткой времени / УКЭП ответственного лица, чтобы получить эффект, близкий к LEC 326.4.</w:t>
      </w:r>
    </w:p>
    <w:p>
      <w:pPr>
        <w:pStyle w:val="Heading1"/>
      </w:pPr>
      <w:r>
        <w:t>6. Что не стоит переносить механически</w:t>
      </w:r>
    </w:p>
    <w:p>
      <w:pPr>
        <w:pStyle w:val="ListBullet"/>
      </w:pPr>
      <w:r>
        <w:rPr>
          <w:rFonts w:ascii="Calibri" w:hAnsi="Calibri" w:eastAsia="Calibri"/>
          <w:b w:val="0"/>
          <w:sz w:val="24"/>
        </w:rPr>
        <w:t>Не считать испанскую мягкость к WhatsApp индульгенцией для «клик‑журналов» без идентификации.</w:t>
      </w:r>
    </w:p>
    <w:p>
      <w:pPr>
        <w:pStyle w:val="Heading1"/>
      </w:pPr>
      <w:r>
        <w:t>7. Источники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LPRL 31/1995 (BOE): </w:t>
      </w:r>
      <w:hyperlink r:id="rId12">
        <w:r>
          <w:rPr>
            <w:color w:val="0563C1"/>
            <w:u w:val="single"/>
            <w:sz w:val="22"/>
            <w:rFonts w:ascii="Calibri" w:hAnsi="Calibri"/>
          </w:rPr>
          <w:t xml:space="preserve">https://www.boe.es/buscar/act.php?id=BOE-A-1995-24292</w:t>
        </w:r>
      </w:hyperlink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LEX/AHK: ЭП в трудовых документах: </w:t>
      </w:r>
      <w:hyperlink r:id="rId13">
        <w:r>
          <w:rPr>
            <w:color w:val="0563C1"/>
            <w:u w:val="single"/>
            <w:sz w:val="22"/>
            <w:rFonts w:ascii="Calibri" w:hAnsi="Calibri"/>
          </w:rPr>
          <w:t xml:space="preserve">https://lex.ahk.es/actualidad-juridica/puede-la-empresa-emplear-la-firma-electronica-en-el-ambito-laboral</w:t>
        </w:r>
      </w:hyperlink>
    </w:p>
    <w:sectPr w:rsidR="00FC693F" w:rsidRPr="0006063C" w:rsidSect="00034616">
      <w:pgSz w:w="11906" w:h="16838"/>
      <w:pgMar w:top="1134" w:right="113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40" w:lineRule="auto"/>
    </w:pPr>
    <w:rPr>
      <w:rFonts w:ascii="Calibri" w:hAnsi="Calibri" w:eastAsia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Calibri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consultant.ru/document/cons_doc_LAW_34683/" TargetMode="External"/><Relationship Id="rId10" Type="http://schemas.openxmlformats.org/officeDocument/2006/relationships/hyperlink" Target="https://www.consultant.ru/document/cons_doc_LAW_405146/" TargetMode="External"/><Relationship Id="rId11" Type="http://schemas.openxmlformats.org/officeDocument/2006/relationships/hyperlink" Target="https://www.consultant.ru/document/cons_doc_LAW_112701/" TargetMode="External"/><Relationship Id="rId12" Type="http://schemas.openxmlformats.org/officeDocument/2006/relationships/hyperlink" Target="https://www.boe.es/buscar/act.php?id=BOE-A-1995-24292" TargetMode="External"/><Relationship Id="rId13" Type="http://schemas.openxmlformats.org/officeDocument/2006/relationships/hyperlink" Target="https://lex.ahk.es/actualidad-juridica/puede-la-empresa-emplear-la-firma-electronica-en-el-ambito-labor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