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Сравнение судебных практик семи стран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По каждому государству: практика об ЭДО в целом и практика об ЭДО / доказывании в охране труда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Метод и оговорка</w:t>
      </w:r>
    </w:p>
    <w:p>
      <w:r>
        <w:rPr>
          <w:rFonts w:ascii="Calibri" w:hAnsi="Calibri" w:eastAsia="Calibri"/>
          <w:b w:val="0"/>
          <w:sz w:val="24"/>
        </w:rPr>
        <w:t>По каждому государству собраны две карточки. Первая — про электронный документ / подпись / допустимость в суде. Вторая — про охрану труда. Отдельных опубликованных решений «электронный журнал инструктажа ничтожен / действителен» почти нет (кроме нормативной легализации в Беларуси и нормативного запрета Form 6 в Сербии). Где прямого дела нет, карточка помечена как аналогия: ближайшее реальное дело о содержании обучения / бремени мер / форме подписи. Номера дел не вымышлены.</w:t>
      </w:r>
    </w:p>
    <w:p>
      <w:pPr>
        <w:pStyle w:val="Heading1"/>
      </w:pPr>
      <w:r>
        <w:t>2. Сводная таблица 14 практик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Страна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Цитата</w:t>
            </w:r>
          </w:p>
        </w:tc>
        <w:tc>
          <w:tcPr>
            <w:tcW w:type="dxa" w:w="190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Сюжет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Германия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BGH, Urteil vom 27.11.2024 — VIII ZR 155/23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Zugang волеизъявления, подписанного квалифицированной электронной подписью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Германия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BAG, Beschluss vom 11.01.2011 — 1 ABR 104/09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Инструктаж по § 12 ArbSchG должен опираться на оценку рисков (§ 5) — содержание важнее формы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Беларусь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84 ХПК РБ; ст. 22 Закона № 113‑З; обзор практики использования электронных документов в договорных отношениях (в т.ч. материал 16.10.2017)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документ с ЭЦП — письменное доказательство, равное бумажному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Беларусь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П. 35 Инструкции № 175 + ст. 84 ХПК (аналогия: как суд принял бы электронный журнал)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электронный журнал инструктажа как электронный/письменный документ ОТ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Сербия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Решение Конституционного суда (ноябрь 2023) о подаче жалобы e‑mail; Апелациони суд у Нишу, Gž 1664/20 от 16.09.2020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документ без QES для суда не подан / не подписан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Сербия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Правилник Сл. гласник РС 5/2025 + аналогия Gž 1664/20 (QES как условие действительности электронного акта)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электронный учёт ОТ действителен только с QES; учёт обучения (Form 6) — бумага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Испания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STS 116/2025, 13.02.2025 (ECLI:ES:TS:2025:634); Ley 6/2020 → LEC art. 326.4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Два режима электронной доказательства: квалифицированный сервис (презумпция) и pantallazos (свободная оценка)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Испания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LPRL art. 19 + режим LEC 326.4 / eIDAS для трудовых электронных документов (аналогия)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обучение по art. 19 LPRL доказывается по общим правилам электронных документов, запрета e‑журнала нет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Ирландия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Ryanair Ltd v Billigfluege.de GmbH [2010] IEHC 47 (26 February 2010)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Электронные условия сайта образуют договор, если доведены до пользователя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Ирландия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Redmond v Tallaght University Hospital [2024] IEHC 167 (13 March 2024)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в споре по ОТ суд проверяет реальность и предметность обучения, а не форму журнала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Франция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Cass. civ. 3e, 5 mars 2026, n° 24‑21.034 (ECLI:FR:CCASS:2026:C300142)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Презумпция надёжности электронной подписи — только если это QES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Франция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Cass. soc., 28 février 2024, n° 22‑15.624; дополнительно Cass. soc., 14 décembre 2022, n° 21‑19.841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бремя мер безопасности на работодателе; скан подписи ≠ электронная подпись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Кения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ЭДО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Dardanelli &amp; 6 others v Tilito &amp; 3 others (Land Case E041 of 2024) [2025] KEELC 392 (KLR) (6 February 2025)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аффидевит без сертификата s. 106B недопустим</w:t>
            </w:r>
          </w:p>
        </w:tc>
      </w:tr>
      <w:tr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Кения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Bigot Flowers (Kenya) Ltd v Cheboswony [2022] KEELRC 3772 (KLR) (10 May 2022)</w:t>
            </w:r>
          </w:p>
        </w:tc>
        <w:tc>
          <w:tcPr>
            <w:tcW w:type="dxa" w:w="190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ответственность occupier за необучение (OSHA s. 99) — без спора о носителе журнала</w:t>
            </w:r>
          </w:p>
        </w:tc>
      </w:tr>
    </w:tbl>
    <w:p/>
    <w:p>
      <w:pPr>
        <w:pStyle w:val="Heading1"/>
      </w:pPr>
      <w:r>
        <w:t>3. Чем практики похожи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Суды везде отделяют «файл существует» от «файл допустим и доказывает нужный факт».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Квалифицированная / advanced подпись усиливает позицию, но не всегда достаточна: Германия требует проверяемый Zugang, Кения — сертификат 106B, Франция — именно QES для презумпции.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 срезе ОТ суды (DE, IE, FR, KE) проверяют, было ли обучение/инструктаж по конкретной опасности, а не «есть ли журнал».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Скан / pantallazos / клик без идентификации нигде не получают автоматической силы QES/ЭЦП.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Ни один суд не сформулировал правило «электронная форма инструктажа всегда ничтожна» — такого запрета в практике нет; запреты, где они есть, статутные (РФ, сербский Form 6).</w:t>
      </w:r>
    </w:p>
    <w:p>
      <w:pPr>
        <w:pStyle w:val="Heading1"/>
      </w:pPr>
      <w:r>
        <w:t>4. Чем различаются</w:t>
      </w:r>
    </w:p>
    <w:p>
      <w:r>
        <w:rPr>
          <w:rFonts w:ascii="Calibri" w:hAnsi="Calibri" w:eastAsia="Calibri"/>
          <w:b w:val="0"/>
          <w:sz w:val="24"/>
        </w:rPr>
        <w:t>Ось A — презумпция против свободной оценки. Испания (LEC 326.4) и Франция (только QES) стоят на презумпции, но по‑разному: Испания даёт её квалифицированному сервису и штрафует легкомысленное оспаривание; Франция в 2026 г. запретила презумпцию, пока не доказан qualified‑статус. Ирландия и (уголовная) Испания по WhatsApp ближе к свободной оценке. Кения формально имеет презумпции Evidence Act, но вход перекрыт 106B.</w:t>
      </w:r>
    </w:p>
    <w:p>
      <w:r>
        <w:rPr>
          <w:rFonts w:ascii="Calibri" w:hAnsi="Calibri" w:eastAsia="Calibri"/>
          <w:b w:val="0"/>
          <w:sz w:val="24"/>
        </w:rPr>
        <w:t>Ось B — канал подачи. Сербия (Конституционный суд 2023, Ниш Gž 1664/20) и Кения (KEELC 392) могут счесть электронный акт несуществующим из‑за канала/сертификата. Германия (BGH 155/23) бьёт не по каналу суда, а по возможности адресата проверить QES.</w:t>
      </w:r>
    </w:p>
    <w:p>
      <w:r>
        <w:rPr>
          <w:rFonts w:ascii="Calibri" w:hAnsi="Calibri" w:eastAsia="Calibri"/>
          <w:b w:val="0"/>
          <w:sz w:val="24"/>
        </w:rPr>
        <w:t>Ось C — охрана труда. Беларусь закрывает вопрос нормой (журнал можно), а не судом. Сербия закрывает вопрос нормой (Form 6 нельзя). Германия (BAG 104/09) и Ирландия (Redmond) закрывают вопрос содержанием обучения. Франция (22‑15.624) — бременем мер после НС. Кения (Bigot Flowers) — статутной обязанностью обучить по OSHA s. 99.</w:t>
      </w:r>
    </w:p>
    <w:p>
      <w:pPr>
        <w:pStyle w:val="Heading1"/>
      </w:pPr>
      <w:r>
        <w:t>5. Сопоставление с Россией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Российская ст. 22.1(3) ТК — статутный запрет носителя, а не вывод суда. Среди 14 карточек нет судебного «подтверждения», что электронный журнал ОТ всегда недопустим.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Белорусская линия ст. 84 ХПК + п. 35 Инстр. 175 показывает, как тот же постсоветский журнал становится электронным доказательством без ломки процесса.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Французские 24‑21.034 и 21‑19.841 полезны против «клик‑журналов» и сканов подписи — это можно внедрить, не сохраняя запрет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Кенийский 106B показывает риск, которого РФ лучше избежать: дополнительный процессуальный ярлык убьёт массовый электронный инструктаж.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Немецкий Zugang (BGH) стоит учесть для уведомлений и юридически значимых сообщений, не обязательно для внутренней отметки в журнале.</w:t>
      </w:r>
    </w:p>
    <w:p>
      <w:pPr>
        <w:pStyle w:val="Heading1"/>
      </w:pPr>
      <w:r>
        <w:t>6. Практический вывод для НИР</w:t>
      </w:r>
    </w:p>
    <w:p>
      <w:r>
        <w:rPr>
          <w:rFonts w:ascii="Calibri" w:hAnsi="Calibri" w:eastAsia="Calibri"/>
          <w:b w:val="0"/>
          <w:sz w:val="24"/>
        </w:rPr>
        <w:t>Сравнивать «судебную практику ЭДО в ОТ» как набор одинаковых прецедентов нельзя: предмет судов разный. Корректная рамка — три вопроса, на которые страны отвечают по‑разному: (1) можно ли вообще вести запись электронно; (2) какая подпись/сервис даёт презумпцию; (3) доказывает ли запись именно обучение по данной опасности. РФ сейчас отвечает на (1) «нет» для журналов и актов НС в КЭДО. Семёрка в основном отвечает «да» на (1) и спорит про (2) и (3). Исключения: Сербия (нет на (1) только для Form 6) и Кения (да на (1) в законе ОТ, но «может быть нет» на допустимости в суде).</w:t>
      </w:r>
    </w:p>
    <w:p>
      <w:pPr>
        <w:pStyle w:val="Heading1"/>
      </w:pPr>
      <w:r>
        <w:t>7. Источники карточек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Официальный PDF BGH VIII ZR 155/23: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https://www.bundesgerichtshof.de/SharedDocs/Entscheidungen/DE/Zivilsenate/VIII_ZS/2023/VIII_ZR_155-23.pdf?__blob=publicationFile&amp;v=1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BAG 1 ABR 104/09, официальная страница: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Ст. 84 ХПК: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https://zakony-by.com/hozyajstvennyj_protsessualnyj_kodeks_rb/84.htm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Инструкция № 175, п. 35: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https://www.mintrud.gov.by/uploads/files/MTiSZ-175-po-sost.-na-02.09.2024.pdf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 Legal: Constitutional Court, XI.2023: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Lexology: Form 6 exception: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https://www.lexology.com/library/detail.aspx?g=123a20c5-c0a7-425d-8c37-c9892c70dc93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Ley 6/2020 / LEC 326.4: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LPRL 31/1995: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BAILII: [2010] IEHC 47: </w:t>
      </w:r>
      <w:hyperlink r:id="rId17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https://www.bailii.org/ie/cases/IEHC/2010/H47.html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[2024] IEHC 167 (BAILII): </w:t>
      </w:r>
      <w:hyperlink r:id="rId18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Legalis: arrêt 5 mars 2026: </w:t>
      </w:r>
      <w:hyperlink r:id="rId19">
        <w:r>
          <w:rPr>
            <w:color w:val="0563C1"/>
            <w:u w:val="single"/>
            <w:sz w:val="22"/>
            <w:rFonts w:ascii="Calibri" w:hAnsi="Calibri"/>
          </w:rPr>
          <w:t xml:space="preserve">https://www.legalis.net/jurisprudences/cour-de-cassation-civile-ch-civile-3-arret-du-5-mars-2026/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22‑15.624, обзор: </w:t>
      </w:r>
      <w:hyperlink r:id="rId20">
        <w:r>
          <w:rPr>
            <w:color w:val="0563C1"/>
            <w:u w:val="single"/>
            <w:sz w:val="22"/>
            <w:rFonts w:ascii="Calibri" w:hAnsi="Calibri"/>
          </w:rPr>
          <w:t xml:space="preserve">https://ogletree.fr/publications/od-flash-resiliation-judiciaire-du-contrat-de-travail-et-accident-du-travail-charge-de-la-preuve-en-cas-de-manquement-de-lemployeur-aux-regles-de-prevention-et-de-securite/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Kenya Law: [2025] KEELC 392: </w:t>
      </w:r>
      <w:hyperlink r:id="rId21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[2022] KEELRC 3772 (PDF): </w:t>
      </w:r>
      <w:hyperlink r:id="rId22">
        <w:r>
          <w:rPr>
            <w:color w:val="0563C1"/>
            <w:u w:val="single"/>
            <w:sz w:val="22"/>
            <w:rFonts w:ascii="Calibri" w:hAnsi="Calibri"/>
          </w:rPr>
          <w:t xml:space="preserve">https://sheriahub.com/cases/ke/caselaw/bigot-flowers-kenya-ltd-v-cheboswony-employment-and-labour-relations-appeal-10of-2018-2022-keelrc-3772-klr-10may-2022-judgment.pdf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ndesgerichtshof.de/SharedDocs/Entscheidungen/DE/Zivilsenate/VIII_ZS/2023/VIII_ZR_155-23.pdf?__blob=publicationFile&amp;v=1" TargetMode="External"/><Relationship Id="rId10" Type="http://schemas.openxmlformats.org/officeDocument/2006/relationships/hyperlink" Target="https://www.bundesarbeitsgericht.de/entscheidung/1-abr-104-09/" TargetMode="External"/><Relationship Id="rId11" Type="http://schemas.openxmlformats.org/officeDocument/2006/relationships/hyperlink" Target="https://zakony-by.com/hozyajstvennyj_protsessualnyj_kodeks_rb/84.htm" TargetMode="External"/><Relationship Id="rId12" Type="http://schemas.openxmlformats.org/officeDocument/2006/relationships/hyperlink" Target="https://www.mintrud.gov.by/uploads/files/MTiSZ-175-po-sost.-na-02.09.2024.pdf" TargetMode="External"/><Relationship Id="rId13" Type="http://schemas.openxmlformats.org/officeDocument/2006/relationships/hyperlink" Target="https://www.prlegal.rs/filing-a-complaint-via-email-yes-it-is-possible/" TargetMode="External"/><Relationship Id="rId14" Type="http://schemas.openxmlformats.org/officeDocument/2006/relationships/hyperlink" Target="https://www.lexology.com/library/detail.aspx?g=123a20c5-c0a7-425d-8c37-c9892c70dc93" TargetMode="External"/><Relationship Id="rId15" Type="http://schemas.openxmlformats.org/officeDocument/2006/relationships/hyperlink" Target="https://www.boe.es/eli/es/l/2020/11/11/6" TargetMode="External"/><Relationship Id="rId16" Type="http://schemas.openxmlformats.org/officeDocument/2006/relationships/hyperlink" Target="https://www.boe.es/buscar/act.php?id=BOE-A-1995-24292" TargetMode="External"/><Relationship Id="rId17" Type="http://schemas.openxmlformats.org/officeDocument/2006/relationships/hyperlink" Target="https://www.bailii.org/ie/cases/IEHC/2010/H47.html" TargetMode="External"/><Relationship Id="rId18" Type="http://schemas.openxmlformats.org/officeDocument/2006/relationships/hyperlink" Target="https://www.bailii.org/ie/cases/IEHC/2024/2024IEHC167.html" TargetMode="External"/><Relationship Id="rId19" Type="http://schemas.openxmlformats.org/officeDocument/2006/relationships/hyperlink" Target="https://www.legalis.net/jurisprudences/cour-de-cassation-civile-ch-civile-3-arret-du-5-mars-2026/" TargetMode="External"/><Relationship Id="rId20" Type="http://schemas.openxmlformats.org/officeDocument/2006/relationships/hyperlink" Target="https://ogletree.fr/publications/od-flash-resiliation-judiciaire-du-contrat-de-travail-et-accident-du-travail-charge-de-la-preuve-en-cas-de-manquement-de-lemployeur-aux-regles-de-prevention-et-de-securite/" TargetMode="External"/><Relationship Id="rId21" Type="http://schemas.openxmlformats.org/officeDocument/2006/relationships/hyperlink" Target="https://new.kenyalaw.org/akn/ke/judgment/keelc/2025/392/eng@2025-02-06" TargetMode="External"/><Relationship Id="rId22" Type="http://schemas.openxmlformats.org/officeDocument/2006/relationships/hyperlink" Target="https://sheriahub.com/cases/ke/caselaw/bigot-flowers-kenya-ltd-v-cheboswony-employment-and-labour-relations-appeal-10of-2018-2022-keelrc-3772-klr-10may-2022-judg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