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Calibri" w:hAnsi="Calibri" w:eastAsia="Calibri"/>
          <w:b/>
          <w:color w:val="1F4E79"/>
          <w:sz w:val="44"/>
        </w:rPr>
        <w:t>Германия: судебная практика — ЭДО в целом</w:t>
      </w:r>
    </w:p>
    <w:p>
      <w:pPr>
        <w:spacing w:after="200"/>
      </w:pPr>
      <w:r>
        <w:rPr>
          <w:rFonts w:ascii="Calibri" w:hAnsi="Calibri" w:eastAsia="Calibri"/>
          <w:b w:val="0"/>
          <w:color w:val="535353"/>
          <w:sz w:val="26"/>
        </w:rPr>
        <w:t>BGH, Urteil vom 27.11.2024 — VIII ZR 155/23</w:t>
      </w:r>
    </w:p>
    <w:p>
      <w:pPr>
        <w:spacing w:after="240"/>
      </w:pPr>
      <w:r>
        <w:rPr>
          <w:rFonts w:ascii="Calibri" w:hAnsi="Calibri" w:eastAsia="Calibri"/>
          <w:b w:val="0"/>
          <w:color w:val="535353"/>
          <w:sz w:val="22"/>
        </w:rPr>
        <w:t>Сравнительный анализ зарубежного регулирования электронного документооборота (ЭДО) с правовой моделью Российской Федерации. Актуализация: август 2026 г.</w:t>
      </w:r>
    </w:p>
    <w:p>
      <w:r>
        <w:rPr>
          <w:rFonts w:ascii="Calibri" w:hAnsi="Calibri" w:eastAsia="Calibri"/>
          <w:b w:val="0"/>
          <w:sz w:val="24"/>
        </w:rPr>
        <w:t>Ниже — опубликованная практика по электронным документам / подписи. Цитата и ссылки проверяемые.</w:t>
      </w:r>
    </w:p>
    <w:p>
      <w:pPr>
        <w:pStyle w:val="Heading1"/>
      </w:pPr>
      <w:r>
        <w:t>1. Реквизиты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62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Поле</w:t>
            </w:r>
          </w:p>
        </w:tc>
        <w:tc>
          <w:tcPr>
            <w:tcW w:type="dxa" w:w="4762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Страна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Германия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Суд / орган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Bundesgerichtshof (VIII. Zivilsenat)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Цитата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BGH, Urteil vom 27.11.2024 — VIII ZR 155/23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Сюжет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Zugang волеизъявления, подписанного квалифицированной электронной подписью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Статус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Прямая практика по ЭДО / электронным доказательствам</w:t>
            </w:r>
          </w:p>
        </w:tc>
      </w:tr>
    </w:tbl>
    <w:p/>
    <w:p>
      <w:pPr>
        <w:pStyle w:val="Heading1"/>
      </w:pPr>
      <w:r>
        <w:t>2. Фабула</w:t>
      </w:r>
    </w:p>
    <w:p>
      <w:r>
        <w:rPr>
          <w:rFonts w:ascii="Calibri" w:hAnsi="Calibri" w:eastAsia="Calibri"/>
          <w:b w:val="0"/>
          <w:sz w:val="24"/>
        </w:rPr>
        <w:t>В гражданском споре сторона направила волеизъявление в электронном документе с квалифицированной электронной подписью. Возник вопрос, считается ли такое заявление дошедшим до адресата, если тот получил не проверяемый электронный файл с QES, а бумажную распечатку / передачу без возможности проверить подпись.</w:t>
      </w:r>
    </w:p>
    <w:p>
      <w:pPr>
        <w:pStyle w:val="Heading1"/>
      </w:pPr>
      <w:r>
        <w:t>3. Правовая позиция</w:t>
      </w:r>
    </w:p>
    <w:p>
      <w:r>
        <w:rPr>
          <w:rFonts w:ascii="Calibri" w:hAnsi="Calibri" w:eastAsia="Calibri"/>
          <w:b w:val="0"/>
          <w:sz w:val="24"/>
        </w:rPr>
        <w:t>Для соблюдения электронной формы (§ 126a BGB) недостаточно, что заявление подписано QES. Оно должно поступить в сферу контроля адресата так, чтобы он мог проверить квалифицированную подпись и тем самым подлинность документа. До 17.07.2024 (вступление § 130e ZPO) это выполнялось, если суд пересылал электронный документ адресату с сохранением подписи. Передача бумажной распечатки с Transfervermerk по § 298 Abs. 3 ZPO доступа в смысле электронной формы не создаёт (см. также параллельное VIII ZR 159/23).</w:t>
      </w:r>
    </w:p>
    <w:p>
      <w:pPr>
        <w:pStyle w:val="Heading1"/>
      </w:pPr>
      <w:r>
        <w:t>4. Значение для НИР (ЭДО / ОТ / РФ)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QES ≈ собственноручная подпись, но только если файл можно проверить — не «скан с картинкой подписи».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Для российского ЭДО: документ с УКЭП, который сторона получила как PDF без возможности валидации сертификата, в немецкой логике может не считаться «дошедшим в форме».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Это гражданская, не «охрана труда» практика, но она задаёт стандарт доказываемости любого юридически значимого ЭДО.</w:t>
      </w:r>
    </w:p>
    <w:p>
      <w:pPr>
        <w:pStyle w:val="Heading1"/>
      </w:pPr>
      <w:r>
        <w:t>5. Источники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Официальный PDF BGH VIII ZR 155/23: </w:t>
      </w:r>
      <w:hyperlink r:id="rId9">
        <w:r>
          <w:rPr>
            <w:color w:val="0563C1"/>
            <w:u w:val="single"/>
            <w:sz w:val="22"/>
            <w:rFonts w:ascii="Calibri" w:hAnsi="Calibri"/>
          </w:rPr>
          <w:t xml:space="preserve">https://www.bundesgerichtshof.de/SharedDocs/Entscheidungen/DE/Zivilsenate/VIII_ZS/2023/VIII_ZR_155-23.pdf?__blob=publicationFile&amp;v=1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Краткая карточка rewis.io: </w:t>
      </w:r>
      <w:hyperlink r:id="rId10">
        <w:r>
          <w:rPr>
            <w:color w:val="0563C1"/>
            <w:u w:val="single"/>
            <w:sz w:val="22"/>
            <w:rFonts w:ascii="Calibri" w:hAnsi="Calibri"/>
          </w:rPr>
          <w:t xml:space="preserve">https://rewis.io/urteile/urteil/wfg-27-11-2024-viii-zr-15523/</w:t>
        </w:r>
      </w:hyperlink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40" w:lineRule="auto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bundesgerichtshof.de/SharedDocs/Entscheidungen/DE/Zivilsenate/VIII_ZS/2023/VIII_ZR_155-23.pdf?__blob=publicationFile&amp;v=1" TargetMode="External"/><Relationship Id="rId10" Type="http://schemas.openxmlformats.org/officeDocument/2006/relationships/hyperlink" Target="https://rewis.io/urteile/urteil/wfg-27-11-2024-viii-zr-1552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