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Сводные рекомендации: зарубежный ЭДО и РФ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Что добавить и что не переносить по итогам сравнения юрисдикций (актуализация, август 2026)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 w:val="0"/>
          <w:sz w:val="24"/>
        </w:rPr>
        <w:t>Документ подготовлен по итогам сравнения регулирования электронного документооборота в ЕС, Великобритании, США, Сингапуре, Китае и Казахстане/ЕАЭС с моделью Российской Федерации (ФЗ № 63‑ФЗ, отраслевой B2B‑ЭДО, кадровый ЭДО ст. 22.1–22.3 ТК РФ, ДТС ЕАЭС). Учтены eIDAS 2.0, UK DVS Trust Framework 1.0, ETDA 2023, китайские положения об электронных документах с 01.09.2026 и ФЗ от 04.08.2026 № 315‑ФЗ.</w:t>
      </w:r>
    </w:p>
    <w:p>
      <w:pPr>
        <w:pStyle w:val="Heading1"/>
      </w:pPr>
      <w:r>
        <w:t>1. Общий вывод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Зарубежное регулирование ЭДО строится вокруг юридической силы электронной записи и подписи, а не вокруг «операторов ЭДО» как универсальной отрасли.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У РФ уже есть сильные стороны: иерархия ПЭП/УНЭП/УКЭП, аккредитованные УЦ, развитый операторский B2B‑ЭДО и отдельный кадровый режим.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Слабые места относительно лидеров 2026 г.: трансграничное признание вне ЕАЭС; электронные товарораспорядительные документы; квалифицированный архив/метка времени как услуга доверия; доказательственные презумпции для УНЭП.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По модели уровней подписи РФ ближе к ЕС, чем к США. По трансграничности — ближе к ЕАЭС/ДТС, чем к автоматическому взаимному признанию eIDAS.</w:t>
      </w:r>
    </w:p>
    <w:p>
      <w:pPr>
        <w:pStyle w:val="Heading1"/>
      </w:pPr>
      <w:r>
        <w:t>2. Что целесообразно добавить в российскую практику / регулирование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Квалифицированное электронное архивирование и метка времени как самостоятельные услуги доверия (мотив eIDAS 2.0) — для судебной доказываемости целостности и даты.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Режим зарегистрированной электронной доставки юридически значимых сообщений (мотив eIDAS registered delivery) — споры о получении уведомлений.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Развитие признания через ДТС ЕАЭС для реального трансграничного B2B (мотив Казахстан/ЕАЭС), с квитанциями проверки как доказательствами.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Режим электронных передаваемых записей для внешней торговли/логистики по мотивам MLETR (Сингапур, UK ETDA 2023, Франция 2024, Китай 2025–2026).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Явные презумпции аутентичности/целостности для согласованных «secure»‑процедур УНЭП (мотив Сингапур) — без требования УКЭП там, где риск невелик.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Системный короткий перечень исключений электронной формы в гражданском обороте (мотив Китай + уже существующие исключения КЭДО), регулярно обновляемый.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Усиление требований к сохраняемости и воспроизводимости электронной записи (мотив ESIGN/США).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Добровольная сертификация сервисов цифровой идентификации по мотивам UK DVS — параллельно УЦ, не вместо них.</w:t>
      </w:r>
    </w:p>
    <w:p>
      <w:pPr>
        <w:pStyle w:val="Heading1"/>
      </w:pPr>
      <w:r>
        <w:t>3. Что не стоит заимствовать / что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Полный отказ от иерархии ПЭП/УНЭП/УКЭП в пользу «американской» абсолютной технологической нейтральности — разрушит B2G и защиту слабой стороны.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Обязательная УКЭП/QES для всех документов — противоречит и ЕС, и здравому смыслу пропорциональности.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Механический перенос всей надзорной машины QTSP ЕС поверх уже существующей аккредитации УЦ — риск двойного регулирования и роста стоимости.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Обязательный «кошелёк идентичности» до готовности инфраструктуры (EUDI Wallet в ЕС — к концу 2026, обязанность частных сторон — к 24.12.2027).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Обязательная ДТС для внутрироссийского обмена.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Перенос MLETR в кадровый 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Изоляция от ЕАЭС в пользу разовых «одобрений иностранных сертификатов» по китайской модели взаимности.</w:t>
      </w:r>
    </w:p>
    <w:p>
      <w:pPr>
        <w:pStyle w:val="Heading1"/>
      </w:pPr>
      <w:r>
        <w:t>4. Матрица приоритетов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Быстрый эффект, низкий конфликт с текущей моделью: архив/метка времени, правила доказывания логов, сохраняемость записей, разъяснения по УНЭП‑презумпциям.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Средний горизонт: registered delivery; донастройка ДТС ЕАЭС для бизнеса; перечень исключений электронной формы.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Длинный горизонт: MLETR‑подобные передаваемые документы; цифровой кошелёк/атрибуты идентичности.</w:t>
      </w:r>
    </w:p>
    <w:p>
      <w:pPr>
        <w:pStyle w:val="Heading1"/>
      </w:pPr>
      <w:r>
        <w:t>5. Состав комплекта страновых файлов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01 — Европейский союз (eIDAS / eIDAS 2.0)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02 — Великобритания (ECA, UK eIDAS, ETDA, DVS)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03 — США (ESIGN / UETA)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04 — Сингапур (ETA / MLETR)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05 — Китай (закон об ЭП + электронные документы с 01.09.2026)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06 — Казахстан и контур ЕАЭС (закон № 370, Решение ЕЭК № 120)</w:t>
      </w:r>
    </w:p>
    <w:p>
      <w:pPr>
        <w:pStyle w:val="Heading1"/>
      </w:pPr>
      <w:r>
        <w:t>6. Источники по РФ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Решение Коллегии ЕЭК от 22.08.2023 № 120 (ДТС ЕАЭС):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docs.eaeunion.org/documents/414/759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