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6"/>
        </w:rPr>
        <w:t>ОГЛАВЛЕНИЕ НИР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35353"/>
          <w:sz w:val="24"/>
        </w:rPr>
        <w:t>Анализ законодательства иностранных государств в части ЭДО в целом</w:t>
        <w:br/>
        <w:t>и в части ЭДО в охране труда: структура глав и параграфов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35353"/>
          <w:sz w:val="22"/>
        </w:rPr>
        <w:t>Рабочий документ для сборки текста (август 2026)</w:t>
      </w:r>
    </w:p>
    <w:p>
      <w:pPr>
        <w:pStyle w:val="Heading1"/>
      </w:pPr>
      <w:r>
        <w:t>1. Как читать это оглавление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Оглавление построено под три обязательных результата НИР: (A) общетеоретический раздел о регулировании ЭДО в иностранных государствах; (B) зарубежный опыт применения ЭДО в охране труда; (C) сравнение с российской практикой. Параграфы внутри глав A и B идут не «страна за страной», а по моделям и процессам. Страновые очерки вынесены в приложения.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Ядро юрисдикций (13 + РФ). Первый комплект: Европейский союз, Великобритания, США, Сингапур, Китай, Казахстан/ЕАЭС. Второй комплект: Германия, Беларусь, Сербия, Испания, Ирландия, Франция, Кения. Линия сравнения — Российская Федерация (ФЗ № 63‑ФЗ, ст. 22.1–22.3 ТК РФ, ПП № 2464).</w:t>
      </w:r>
    </w:p>
    <w:p>
      <w:pPr>
        <w:pStyle w:val="Heading1"/>
      </w:pPr>
      <w:r>
        <w:t>2. Полное оглавление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 Актуальность темы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 Степень научной разработанности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 Цель, задачи, объект и предмет исследования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4. Методология и методы (сравнительно-правовой, формально-юридический, системный)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5. Границы исследования и выборка юрисдикций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6. Научная новизна, теоретическая и практическая значимость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7. Структура работы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ГЛАВА 1. ОБЩЕТЕОРЕТИЧЕСКИЕ ОСНОВЫ РЕГУЛИРОВАНИЯ ЭДО В ИНОСТРАННЫХ ГОСУДАРСТВАХ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1.1. Понятие электронного документооборота, электронного документа и электронной записи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1.1.1. Электронный документ, electronic record и electronic message: терминологические различия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1.1.2. Почему зарубежное право регулирует «подпись и запись», а не «оператора ЭДО»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1.1.3. Функциональная эквивалентность письменной форме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1.2. Международная унификация правил электронной торговли и подписи (UNCITRAL)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1.2.1. Типовой закон об электронной торговле (MLEC, 1996): недискриминация электронной формы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1.2.2. Типовой закон об электронных подписях (MLES, 2001): надёжность и иностранные подписи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1.2.3. Конвенция Нью‑Йорк 2005 об электронных сообщениях в международных договорах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1.2.4. Типовой закон об электронных передаваемых записях (MLETR, 2017) и статус имплементации к 2026 г.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1.3. Две базовые модели национального регулирования ЭДО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1.3.1. Модель иерархии подписей и квалифицированных услуг доверия (ЕС: eIDAS / eIDAS 2.0)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1.3.2. Модель технологической нейтральности и согласия сторон (США: ESIGN / UETA)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1.3.3. Гибридные и переходные режимы (Сингапур, Китай, Великобритания после Brexit)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1.3.4. PKI‑центричная модель и интеграционный контур ЕАЭС (Казахстан, Решение ЕЭК № 120)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1.4. Инфраструктура доверия и цифровая идентичность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1.4.1. Удостоверяющие центры, QTSP и рыночные провайдеры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1.4.2. Электронная печать, метка времени, зарегистрированная электронная доставка, архивирование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1.4.3. Кошелёк цифровой идентичности (EUDI Wallet) и британский DVS Trust Framework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1.5. Доказывание юридической силы электронной записи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1.5.1. Согласие на электронную форму и воспроизводимость записи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1.5.2. Целостность, audit trail и презумпции «secure» / квалифицированной подписи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1.5.3. Исключения электронной формы (семейные, наследственные, отдельные статутные акты)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1.6. Трансграничное признание электронных подписей и документов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1.6.1. Автоматическое взаимное признание внутри ЕС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1.6.2. Эквивалентность, взаимность и договор сторон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1.6.3. Служба доверенной третьей стороны в ЕАЭС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1.7. Промежуточные выводы главы 1: что общая рамка ЭДО означает для документов охраны труда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ГЛАВА 2. ЗАРУБЕЖНЫЙ ОПЫТ ПРИМЕНЕНИЯ ЭДО В ОХРАНЕ ТРУДА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2.1. Предмет и границы «ЭДО в охране труда»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2.1.1. Почему специального «закона об ЭДО в ОТ» почти нигде нет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2.1.2. Перечень процессов ОТ, где электронная запись имеет юридическое значение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2.1.3. Соотношение общего ЭДО, трудового права и специальных правил OSH/WSH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2.2. Инструктажи и обучение по охране труда в электронной форме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2.2.1. Европейский союз: документирование обучения и компетентности через eIDAS‑рамку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2.2.2. США: electronic training records и позиция OSHA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2.2.3. Сингапур: Training Records System как государственный сервис проверки обучения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2.2.4. Казахстан: электронный журнал инструктажа с ЭЦП как прямая спецнорма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2.2.5. Китай и Великобритания: применение общего режима ЭП к safety training records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2.2.6. Беларусь: п. 35 Инструкции № 175 — прямой электронный журнал инструктажа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2.2.7. Сербия: электронные формы ОТ с QES, Form 6 на бумаге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2.2.8. Германия, Испания, Ирландия, Франция: нет запрета носителя, суды смотрят содержание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2.2.9. Кения: закон ОТ молчит, процесс требует Evidence Act s. 106B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2.3. Оценка профессиональных рисков и электронные наряды-допуски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2.3.1. Risk assessment как ядро документации ОТ в ЕС и UK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2.3.2. Electronic permit-to-work: блокировка допуска без действующего обучения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2.3.3. Цифровые шаблоны ОПР (OiRA и национальные аналоги)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2.4. Ознакомление работника с локальными актами и требованиями по ОТ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2.4.1. Electronic acknowledgement vs собственноручная подпись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2.4.2. Риск «клика вместо ознакомления» и требования к идентификации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2.5. Учёт травматизма, расследование несчастных случаев и отчётность регулятору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2.5.1. США: 29 CFR Part 1904 и Injury Tracking Application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2.5.2. Великобритания: RIDDOR и электронная подача сведений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2.5.3. Соотношение электронного учёта и процессуального статуса акта о несчастном случае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2.6. Доказывание перед инспекцией и судом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2.6.1. Что считается sufficient / reliable electronic record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2.6.2. Audit trail, сроки хранения, доступность записи по запросу инспектора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2.6.3. Типичные дефекты электронной фиксации (подмена лица, отсутствие логов, утрата данных)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2.6.4. Российское зеркало: журнал как доказательство содержания, запрет носителя — статутный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2.7. Промежуточные выводы главы 2: где электронная форма в ОТ прямо разрешена, молчаливо допустима или исключена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ГЛАВА 3. СРАВНЕНИЕ ЗАРУБЕЖНОГО РЕГУЛИРОВАНИЯ И ОПЫТА С РОССИЙСКОЙ ПРАКТИКОЙ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3.1. Российская правовая рамка ЭДО как линия сравнения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3.1.1. ФЗ № 63‑ФЗ: ПЭП, УНЭП, УКЭП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3.1.2. Кадровый ЭДО: ст. 22.1–22.3 ТК РФ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3.1.3. Обучение по охране труда: ПП РФ № 2464 (в ред. № 805)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3.1.4. Трансграничность: ст. 7 63‑ФЗ, ДТС ЕАЭС, ФЗ № 315‑ФЗ (2026)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3.1.5. Российское зеркало: Пленум № 25, письма Минтруда/Роструда, ВС 49‑АД24‑22‑К6, Пленум № 41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3.2. Точки сходства российской и зарубежной моделей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3.2.1. Недискриминация электронной формы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3.2.2. Близость иерархии подписи РФ к модели ЕС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3.2.3. Наличие аккредитованной инфраструктуры доверия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3.3. Ключевые расхождения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3.3.1. Исключение инструктажей по ОТ и актов НС из КЭДО (ч. 3 ст. 22.1 ТК РФ)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3.3.2. Формализм журнала vs содержательная достаточность записи (UK / США)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3.3.3. Отсутствие прямого аналога государственного сервиса проверки обучения (Сингапур TRS)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3.3.4. Трансграничное признание: автоматизм ЕС vs ДТС ЕАЭС vs точечная ст. 7 63‑ФЗ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3.4. Что из зарубежного опыта целесообразно заимствовать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3.4.1. Электронный журнал инструктажа (Беларусь п. 35; Казахстан как более жёсткий вариант)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3.4.2. Стандарт реквизитов и audit trail электронной записи ОТ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3.4.3. Сервис проверки обучения до допуска (мотив Сингапура)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3.4.4. Электронные наряды-допуски и шаблоны ОПР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3.4.5. Квалифицированный архив, метка времени, registered delivery (мотив eIDAS 2.0)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3.5. Что не следует механически переносить в российское право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3.5.1. Отказ от иерархии ПЭП/УНЭП/УКЭП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3.5.2. Полный отказ от подтверждения работника на инструктаже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3.5.3. Обязательный кошелёк идентичности до готовности инфраструктуры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3.5.4. Перенос MLETR в кадровый / охранительный документооборот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3.6. Предложения de lege lata и de lege ferenda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3.6.1. Что можно сделать без изменения ТК РФ (ЛНА, УНЭП, протоколы по № 2464)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3.6.2. Какие правки ч. 3 ст. 22.1 ТК РФ и/или № 2464 нужны для электронного журнала инструктажа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3.6.3. Направления развития ДТС ЕАЭС для практики работодателя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§ 3.7. Сроки хранения и персональные данные электронной записи ОТ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3.7.1. Приказ Росархива № 236: журналы инструктажа — 45 лет</w:t>
      </w:r>
    </w:p>
    <w:p>
      <w:pPr>
        <w:spacing w:after="40" w:before="40" w:line="276" w:lineRule="auto"/>
        <w:ind w:left="850"/>
      </w:pPr>
      <w:r>
        <w:rPr>
          <w:rFonts w:ascii="Times New Roman" w:hAnsi="Times New Roman" w:eastAsia="Times New Roman"/>
          <w:b w:val="0"/>
          <w:sz w:val="28"/>
        </w:rPr>
        <w:t>3.7.2. 152‑ФЗ и GDPR: цель, минимизация, облако, биометрия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after="40" w:before="40" w:line="276" w:lineRule="auto"/>
      </w:pPr>
      <w:r>
        <w:rPr>
          <w:rFonts w:ascii="Times New Roman" w:hAnsi="Times New Roman" w:eastAsia="Times New Roman"/>
          <w:b/>
          <w:sz w:val="28"/>
        </w:rPr>
        <w:t>ПРИЛОЖЕНИЯ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1. Сравнительная матрица А: ЭДО в целом по юрисдикциям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2. Сравнительная матрица B: ЭДО в охране труда по юрисдикциям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3. Матрица C: сравнение с Российской Федерацией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4. Страновые карточки первого комплекта (ЕС, UK, США, Сингапур, Китай, Казахстан/ЕАЭС)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5. Страновые карточки второго комплекта (DE, BY, RS, ES, IE, FR, KE) и судебная практика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6. Оглавление с аннотациями параграфов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7. Глоссарий (ПЭП/УНЭП/УКЭП, QES, ДТС, Zugang, Form 6, 106B)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8. Матрица документов ОТ (журнал, протокол, ОПР, наряд‑допуск, акт НС, СИЗ)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9. Проект правок ч. 3 ст. 22.1 ТК РФ и/или ПП № 2464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10. Практика РФ (Пленум № 25, письма Минтруда, ВС 49‑АД24‑22‑К6, Пленум № 41)</w:t>
      </w:r>
    </w:p>
    <w:p>
      <w:pPr>
        <w:spacing w:after="40" w:before="40" w:line="276" w:lineRule="auto"/>
        <w:ind w:left="425"/>
      </w:pPr>
      <w:r>
        <w:rPr>
          <w:rFonts w:ascii="Times New Roman" w:hAnsi="Times New Roman" w:eastAsia="Times New Roman"/>
          <w:b w:val="0"/>
          <w:sz w:val="28"/>
        </w:rPr>
        <w:t>Приложение 11. Сроки хранения и персональные данные (Росархив № 236, 152‑ФЗ, GDPR)</w:t>
      </w:r>
    </w:p>
    <w:p>
      <w:pPr>
        <w:pStyle w:val="Heading1"/>
      </w:pPr>
      <w:r>
        <w:t>3. Краткие аннотации ключевых параграфов</w:t>
      </w:r>
    </w:p>
    <w:p>
      <w:r>
        <w:rPr>
          <w:rFonts w:ascii="Times New Roman" w:hAnsi="Times New Roman" w:eastAsia="Times New Roman"/>
          <w:b w:val="0"/>
          <w:sz w:val="28"/>
        </w:rPr>
        <w:t>Ниже — что именно должно быть написано в параграфе (не заголовки, а содержательный заказ на текст). Это ориентир для автора при сборке глав.</w:t>
      </w:r>
    </w:p>
    <w:p>
      <w:pPr>
        <w:pStyle w:val="Heading2"/>
      </w:pPr>
      <w:r>
        <w:t>§ 1.1. Понятие ЭДО / электронного документа / записи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Развести термины electronic document, electronic record, electronic message, electronic signature. Показать, что «ЭДО» в российском управленческом смысле шире, чем в зарубежных законах, где регулируется сила записи и подписи. Зафиксировать принцип функциональной эквивалентности письму.</w:t>
      </w:r>
    </w:p>
    <w:p>
      <w:pPr>
        <w:pStyle w:val="Heading2"/>
      </w:pPr>
      <w:r>
        <w:t>§ 1.3. Две базовые модели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Дать контраст ЕС (SES/AES/QES + QTSP + взаимное признание) и США (нейтральность + согласие + сохраняемость). Показать, куда относятся Сингапур (secure signature + MLETR), Китай («надёжная» ЭП + исключения), UK (retained eIDAS + ETDA + DVS), Казахстан/ЕАЭС (ЭЦП + ДТС). Вывод: РФ ближе к европейской иерархии, чем к американской нейтральности.</w:t>
      </w:r>
    </w:p>
    <w:p>
      <w:pPr>
        <w:pStyle w:val="Heading2"/>
      </w:pPr>
      <w:r>
        <w:t>§ 1.7. Мост к охране труда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Сформулировать правило перехода: если закон не запрещает электронную запись и обеспечивает идентификацию/целостность, документы ОТ могут быть электронными; если есть спецзапрет или требование собственноручной подписи — нужна спецнорма. Это логический переход к главе 2.</w:t>
      </w:r>
    </w:p>
    <w:p>
      <w:pPr>
        <w:pStyle w:val="Heading2"/>
      </w:pPr>
      <w:r>
        <w:t>§ 2.2. Инструктажи и обучение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Собрать по процессам, не по странам: OSHA — electronic training records; Сингапур — TRS; Казахстан — журнал + ЭЦП; Беларусь — п. 35 Инструкции № 175 (ближайший образец без обязательной ЭЦП у рабочего); Сербия — Form 6 на бумаге при электронных остальных формах; ЕС‑четвёрка — нет запрета носителя; Кения — молчание OSHA + процессуальный 106B. Каждый тезис — со ссылкой на акт.</w:t>
      </w:r>
    </w:p>
    <w:p>
      <w:pPr>
        <w:pStyle w:val="Heading2"/>
      </w:pPr>
      <w:r>
        <w:t>§ 2.5. Травматизм и НС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Отделить электронный учёт/отчётность (OSHA ITA, RIDDOR online) от процессуального акта расследования. Показать: цифровизация отчётности не отменяет полноценного расследования. Это критично для сравнения с исключением актов НС из КЭДО в РФ.</w:t>
      </w:r>
    </w:p>
    <w:p>
      <w:pPr>
        <w:pStyle w:val="Heading2"/>
      </w:pPr>
      <w:r>
        <w:t>§ 3.3. Ключевые расхождения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Центральный параграф сравнения. Ядро: ч. 3 ст. 22.1 ТК РФ исключает из КЭДО подтверждение инструктажей и акты НС, тогда как зарубежные режимы обычно допускают электронную фиксацию при условиях доказываемости. Далее — формализм журнала vs sufficient record; отсутствие TRS-подобного сервиса; разная трансграничность.</w:t>
      </w:r>
    </w:p>
    <w:p>
      <w:pPr>
        <w:pStyle w:val="Heading2"/>
      </w:pPr>
      <w:r>
        <w:t>§ 3.4–3.6. Заимствования и предложения</w:t>
      </w:r>
    </w:p>
    <w:p>
      <w:pPr>
        <w:ind w:firstLine="709"/>
      </w:pPr>
      <w:r>
        <w:rPr>
          <w:rFonts w:ascii="Times New Roman" w:hAnsi="Times New Roman" w:eastAsia="Times New Roman"/>
          <w:b w:val="0"/>
          <w:sz w:val="28"/>
        </w:rPr>
        <w:t>Не список «хотелок», а привязка к пробелу РФ: вариант A (абзац к ч. 3 ст. 22.1 по модели Беларуси) и вариант B (только 2464, не заменяет бумагу до изменения ТК). Акт НС не смешивать с журналом. § 3.7: 45 лет архива и 152‑ФЗ/GDPR. Отдельно — «не переносить» с причиной.</w:t>
      </w:r>
    </w:p>
    <w:p>
      <w:pPr>
        <w:pStyle w:val="Heading1"/>
      </w:pPr>
      <w:r>
        <w:t>4. Соответствие оглавления матрицам поиска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Приложение 1 / Матрица A → материал §§ 1.2–1.6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Приложение 2 / Матрица B → материал §§ 2.2–2.6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Приложение 3 / Матрица C → материал §§ 3.2–3.6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8"/>
        </w:rPr>
        <w:t>Страновые Word-карточки → Приложение 4; в основной текст идут только как примеры</w:t>
      </w:r>
    </w:p>
    <w:p>
      <w:r>
        <w:rPr>
          <w:rFonts w:ascii="Times New Roman" w:hAnsi="Times New Roman" w:eastAsia="Times New Roman"/>
          <w:b w:val="0"/>
          <w:sz w:val="28"/>
        </w:rPr>
        <w:t>Правило сборки: сначала заполняются матрицы A и B по стране, затем пишется текст параграфов. Глава 3 пишется последней и только из матрицы C.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