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Структура НИР: зарубежное регулирование ЭДО и ЭДО в охране труда</w:t>
      </w:r>
    </w:p>
    <w:p>
      <w:pPr>
        <w:ind w:firstLine="709"/>
      </w:pPr>
      <w:r>
        <w:t xml:space="preserve">Документ — рабочая программа исследования, а не готовый текст глав.  </w:t>
      </w:r>
    </w:p>
    <w:p>
      <w:pPr>
        <w:ind w:firstLine="709"/>
      </w:pPr>
      <w:r>
        <w:t>Два исходных вопроса:</w:t>
      </w:r>
    </w:p>
    <w:p>
      <w:pPr>
        <w:ind w:firstLine="709"/>
      </w:pPr>
      <w:r>
        <w:t xml:space="preserve">1. Анализ законодательства иностранных государств в части ЭДО в целом.  </w:t>
      </w:r>
    </w:p>
    <w:p>
      <w:pPr>
        <w:ind w:firstLine="709"/>
      </w:pPr>
      <w:r>
        <w:t>2. Анализ законодательства иностранных государств в части ЭДО в охране труда (ОТ).</w:t>
      </w:r>
    </w:p>
    <w:p>
      <w:pPr>
        <w:ind w:firstLine="709"/>
      </w:pPr>
      <w:r>
        <w:t>Три обязательных результата: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A. Общетеоретический раздел о существующем регулировании вопроса в иностранных государствах.  </w:t>
      </w:r>
    </w:p>
    <w:p>
      <w:pPr>
        <w:pStyle w:val="ListBullet"/>
      </w:pPr>
      <w:r>
        <w:rPr>
          <w:rFonts w:ascii="Times New Roman" w:hAnsi="Times New Roman"/>
          <w:sz w:val="28"/>
        </w:rPr>
        <w:t xml:space="preserve">B. Зарубежный опыт применения ЭДО в ОТ.  </w:t>
      </w:r>
    </w:p>
    <w:p>
      <w:pPr>
        <w:pStyle w:val="ListBullet"/>
      </w:pPr>
      <w:r>
        <w:rPr>
          <w:rFonts w:ascii="Times New Roman" w:hAnsi="Times New Roman"/>
          <w:sz w:val="28"/>
        </w:rPr>
        <w:t>C. Сравнение с российской практикой.</w:t>
      </w:r>
    </w:p>
    <w:p>
      <w:pPr>
        <w:ind w:firstLine="709"/>
      </w:pPr>
      <w:r>
        <w:t>---</w:t>
      </w:r>
    </w:p>
    <w:p>
      <w:pPr>
        <w:pStyle w:val="Heading1"/>
      </w:pPr>
      <w:r>
        <w:t>1. Как это встраивается в НИР</w:t>
      </w:r>
    </w:p>
    <w:p>
      <w:pPr>
        <w:ind w:firstLine="709"/>
      </w:pPr>
      <w:r>
        <w:t>Не делать две отдельные «справки по странам» и потом склеивать. Идти от общего к специальному, а сравнение с РФ держать сквозным, но оформлять отдельным итоговым разделом.</w:t>
      </w:r>
    </w:p>
    <w:p>
      <w:pPr>
        <w:spacing w:line="276" w:lineRule="auto"/>
      </w:pPr>
      <w:r>
        <w:rPr>
          <w:rFonts w:ascii="Courier New" w:hAnsi="Courier New"/>
          <w:sz w:val="22"/>
        </w:rPr>
        <w:t>Вопрос 1 (ЭДО в целом)  ──►  Раздел A  (теория и модели)</w:t>
        <w:br/>
        <w:t xml:space="preserve">                                      │</w:t>
        <w:br/>
        <w:t>Вопрос 2 (ЭДО в ОТ)     ──►  Раздел B  (отраслевое применение)</w:t>
        <w:br/>
        <w:t xml:space="preserve">                                      │</w:t>
        <w:br/>
        <w:t>Оба вопроса + РФ        ──►  Раздел C  (сравнение и выводы для РФ)</w:t>
      </w:r>
    </w:p>
    <w:p>
      <w:pPr>
        <w:ind w:firstLine="709"/>
      </w:pPr>
      <w:r>
        <w:t>Круг 1. Международная рамка</w:t>
      </w:r>
    </w:p>
    <w:p>
      <w:pPr>
        <w:ind w:firstLine="709"/>
      </w:pPr>
      <w:r>
        <w:t xml:space="preserve">   UNCITRAL (MLEC, MLES, ECC 2005, MLETR)</w:t>
      </w:r>
    </w:p>
    <w:p>
      <w:pPr>
        <w:ind w:firstLine="709"/>
      </w:pPr>
      <w:r>
        <w:t xml:space="preserve">   ILO (OSH conventions/recommendations, guidelines)</w:t>
      </w:r>
    </w:p>
    <w:p>
      <w:pPr>
        <w:ind w:firstLine="709"/>
      </w:pPr>
      <w:r>
        <w:t xml:space="preserve">   ISO 45001 (документированная информация — не закон, но практика)</w:t>
      </w:r>
    </w:p>
    <w:p>
      <w:pPr>
        <w:ind w:firstLine="709"/>
      </w:pPr>
      <w:r>
        <w:t>Круг 2. Наднациональное / интеграционное</w:t>
      </w:r>
    </w:p>
    <w:p>
      <w:pPr>
        <w:ind w:firstLine="709"/>
      </w:pPr>
      <w:r>
        <w:t xml:space="preserve">   ЕС: eIDAS, eIDAS 2.0, директивы ОТ (89/391 и «дочки»)</w:t>
      </w:r>
    </w:p>
    <w:p>
      <w:pPr>
        <w:ind w:firstLine="709"/>
      </w:pPr>
      <w:r>
        <w:t xml:space="preserve">   ЕАЭС: Решение Коллегии ЕЭК № 120 (ДТС)</w:t>
      </w:r>
    </w:p>
    <w:p>
      <w:pPr>
        <w:ind w:firstLine="709"/>
      </w:pPr>
      <w:r>
        <w:t>Круг 3. Национальное общее ЭДО</w:t>
      </w:r>
    </w:p>
    <w:p>
      <w:pPr>
        <w:ind w:firstLine="709"/>
      </w:pPr>
      <w:r>
        <w:t xml:space="preserve">   закон об ЭП / электронных сделках / электронных записях</w:t>
      </w:r>
    </w:p>
    <w:p>
      <w:pPr>
        <w:ind w:firstLine="709"/>
      </w:pPr>
      <w:r>
        <w:t xml:space="preserve">   подзаконные акты об УЦ, архиве, идентификации</w:t>
      </w:r>
    </w:p>
    <w:p>
      <w:pPr>
        <w:ind w:firstLine="709"/>
      </w:pPr>
      <w:r>
        <w:t>Круг 4. Национальное ОТ + практика</w:t>
      </w:r>
    </w:p>
    <w:p>
      <w:pPr>
        <w:ind w:firstLine="709"/>
      </w:pPr>
      <w:r>
        <w:t xml:space="preserve">   закон об ОТ / employment / WSH</w:t>
      </w:r>
    </w:p>
    <w:p>
      <w:pPr>
        <w:ind w:firstLine="709"/>
      </w:pPr>
      <w:r>
        <w:t xml:space="preserve">   правила обучения, журналов, НС, permit-to-work</w:t>
      </w:r>
    </w:p>
    <w:p>
      <w:pPr>
        <w:ind w:firstLine="709"/>
      </w:pPr>
      <w:r>
        <w:t xml:space="preserve">   гайды инспекции, разъяснения регулятора, судебная практика</w:t>
      </w:r>
    </w:p>
    <w:p>
      <w:pPr>
        <w:spacing w:line="276" w:lineRule="auto"/>
      </w:pPr>
      <w:r>
        <w:rPr>
          <w:rFonts w:ascii="Courier New" w:hAnsi="Courier New"/>
          <w:sz w:val="22"/>
        </w:rPr>
        <w:br/>
        <w:t>**Правило перехода:** в Раздел B попадает только то, что либо:</w:t>
        <w:br/>
        <w:br/>
        <w:t xml:space="preserve">- прямо сказано в акте по ОТ («журнал может быть электронным»), либо  </w:t>
        <w:br/>
        <w:t>- выводится из общего ЭДО («электронная запись = письменная, если…») + отраслевой гайд/практика.</w:t>
        <w:br/>
        <w:br/>
        <w:t>Если прямого правила нет — так и писать: *«специальной нормы нет; применяется общий режим ЭП при условиях…»*. Это честный научный результат, не дыра.</w:t>
        <w:br/>
        <w:br/>
        <w:t>---</w:t>
        <w:br/>
        <w:br/>
        <w:t>## 4. Поисковые запросы (язык + смысл)</w:t>
        <w:br/>
        <w:br/>
        <w:t>Искать **параллельно по-русски и по-английски**. Для Китая/Казахстана — ещё и официальные базы (NPC/CAC, Adilet, docs.eaeunion.org).</w:t>
        <w:br/>
        <w:br/>
        <w:t>### 4.1. ЭДО в целом</w:t>
        <w:br/>
        <w:br/>
        <w:t>| Смысл | EN | RU |</w:t>
        <w:br/>
        <w:t>| --- | --- | --- |</w:t>
        <w:br/>
        <w:t>| Недискриминация эл. формы | electronic record legal effect; non-discrimination electronic form | юридическая сила электронного документа |</w:t>
        <w:br/>
        <w:t>| Подпись | electronic signature; qualified electronic signature; eIDAS | электронная подпись; УКЭП; квалифицированная ЭП |</w:t>
        <w:br/>
        <w:t>| Услуги доверия | trust services; qualified trust service provider; timestamp; electronic registered delivery | удостоверяющий центр; метка времени; услуги доверия |</w:t>
        <w:br/>
        <w:t>| Идентичность | digital identity wallet; EUDI; digital verification services | цифровая идентичность; кошелёк |</w:t>
        <w:br/>
        <w:t>| Трансграничность | cross-border recognition electronic signature; trusted third party | признание иностранной ЭП; ДТС |</w:t>
        <w:br/>
        <w:t>| Хранение | record retention; integrity; reproducibility | хранение электронных документов; целостность |</w:t>
        <w:br/>
        <w:t>| Передаваемые документы | electronic transferable records; MLETR; electronic bill of lading | электронный коносамент (только для A) |</w:t>
        <w:br/>
        <w:br/>
        <w:t>Стартовые официальные входы:</w:t>
        <w:br/>
        <w:br/>
        <w:t xml:space="preserve">- UNCITRAL: `uncitral.un.org`  </w:t>
        <w:br/>
        <w:t xml:space="preserve">- ЕС: `eur-lex.europa.eu` (910/2014, 2024/1183)  </w:t>
        <w:br/>
        <w:t xml:space="preserve">- UK: `legislation.gov.uk` (ECA 2000 s.7; ETDA 2023; SI 2016/696)  </w:t>
        <w:br/>
        <w:t xml:space="preserve">- США: ESIGN 15 U.S.C. ch. 96; UETA  </w:t>
        <w:br/>
        <w:t xml:space="preserve">- Сингапур: `sso.agc.gov.sg` Electronic Transactions Act 2010  </w:t>
        <w:br/>
        <w:t xml:space="preserve">- Китай: Electronic Signature Law; CAC provisions on electronic documents  </w:t>
        <w:br/>
        <w:t xml:space="preserve">- Казахстан: Закон № 370, `adilet.zan.kz`  </w:t>
        <w:br/>
        <w:t>- ЕАЭС: Решение № 120, `docs.eaeunion.org`</w:t>
        <w:br/>
        <w:br/>
        <w:t>### 4.2. ЭДО в ОТ</w:t>
        <w:br/>
        <w:br/>
        <w:t>| Смысл | EN | RU |</w:t>
        <w:br/>
        <w:t>| --- | --- | --- |</w:t>
        <w:br/>
        <w:t>| Электронный инструктаж | electronic safety induction; electronic briefing record; e-learning OSH | электронный журнал инструктажа |</w:t>
        <w:br/>
        <w:t>| Обучение | electronic training records; certificate of training; WSH training | проверка знания требований ОТ; обучение по ОТ |</w:t>
        <w:br/>
        <w:t>| Оценка рисков | electronic risk assessment; documented information ISO 45001 | оценка профессиональных рисков (электронная) |</w:t>
        <w:br/>
        <w:t>| Наряд-допуск | electronic permit-to-work; e-PTW | электронный наряд-допуск |</w:t>
        <w:br/>
        <w:t>| Ознакомление | electronic acknowledgement; employee sign-off | ознакомление с ЛНА в электронном виде |</w:t>
        <w:br/>
        <w:t>| Травматизм | electronic injury log; OSHA 300 electronic; RIDDOR online | акт НС; учёт несчастных случаев электронно |</w:t>
        <w:br/>
        <w:t>| Инспекция | labour inspectorate electronic reporting; HSE guidance records | электронное взаимодействие с ГИТ / Роструд |</w:t>
        <w:br/>
        <w:br/>
        <w:t>Стартовые отраслевые входы:</w:t>
        <w:br/>
        <w:br/>
        <w:t xml:space="preserve">- ЕС: Framework Directive 89/391/EEC (документирование профилактики).  </w:t>
        <w:br/>
        <w:t xml:space="preserve">- UK: HSG65 / INDG163 (risk assessment); HSE — electronic records, permit-to-work.  </w:t>
        <w:br/>
        <w:t xml:space="preserve">- США: OSHA 29 C.F.R. training / 1904 recordkeeping; electronic signatures on OSHA forms.  </w:t>
        <w:br/>
        <w:t xml:space="preserve">- Сингапур: Workplace Safety and Health Act; Training Records System (TRS).  </w:t>
        <w:br/>
        <w:t xml:space="preserve">- Казахстан: правила по ОТ / электронный журнал инструктажа с ЭЦП.  </w:t>
        <w:br/>
        <w:t>- ILO: Guidelines on occupational safety and health management systems (ILO-OSH).</w:t>
        <w:br/>
        <w:br/>
        <w:t>---</w:t>
        <w:br/>
        <w:br/>
        <w:t>## 5. Что считать источником (иерархия доказательств)</w:t>
        <w:br/>
        <w:br/>
        <w:t>Для НИР источники ранжировать, иначе в текст попадут блоги вендоров ЭДО.</w:t>
        <w:br/>
        <w:br/>
        <w:t>| Уровень | Что берём | Как используем |</w:t>
        <w:br/>
        <w:t>| --- | --- | --- |</w:t>
        <w:br/>
        <w:t>| **1. Первичное право** | законы, регламенты, директивы | основа карточки юрисдикции |</w:t>
        <w:br/>
        <w:t>| **2. Вторичное право** | постановления, implementing acts, OSHA/HSE regulations | уточнение техники и исключений |</w:t>
        <w:br/>
        <w:t>| **3. Официальные разъяснения** | guidance регулятора, circulars, Q&amp;A минтруда | «опыт применения» для Раздела B |</w:t>
        <w:br/>
        <w:t>| **4. Судебная практика** | 2–4 ключевых дела на юрисдикцию, если есть | доказываемость электронной записи |</w:t>
        <w:br/>
        <w:t>| **5. Стандарты** | ISO 45001, ILO-OSH | практика менеджмента, не норма права |</w:t>
        <w:br/>
        <w:t>| **6. Доктрина / обзоры** | OECD, academic papers, law firm notes | только как навигатор к акту 1–3 уровня |</w:t>
        <w:br/>
        <w:br/>
        <w:t>**Не брать как доказательство нормы:** коммерческие white paper операторов ЭДО, новости без ссылки на акт, пересказы Telegram-каналов.</w:t>
        <w:br/>
        <w:br/>
        <w:t>На каждый использованный акт в карточке фиксировать: полное название, номер/год, статья, URL официальной публикации, дата обращения.</w:t>
        <w:br/>
        <w:br/>
        <w:t>---</w:t>
        <w:br/>
        <w:br/>
        <w:t>## 6. Единая карточка юрисдикции (шаблон поиска и записи)</w:t>
        <w:br/>
        <w:br/>
        <w:t>По каждой стране заполнять **две карточки**: «ЭДО общее» и «ЭДО в ОТ». Без этого Раздел C не сойдётся.</w:t>
        <w:br/>
        <w:br/>
        <w:t>### Карточка A — ЭДО в целом</w:t>
        <w:br/>
        <w:br/>
        <w:t xml:space="preserve">1. Основные акты и дата актуальности.  </w:t>
        <w:br/>
        <w:t xml:space="preserve">2. Определение электронного документа / записи.  </w:t>
        <w:br/>
        <w:t xml:space="preserve">3. Принцип недискриминации электронной формы.  </w:t>
        <w:br/>
        <w:t xml:space="preserve">4. Модель подписи (нейтральная / иерархия / «надёжная»).  </w:t>
        <w:br/>
        <w:t xml:space="preserve">5. Инфраструктура доверия (УЦ, QTSP, рынок).  </w:t>
        <w:br/>
        <w:t xml:space="preserve">6. Согласие сторон / исключения бумажной формы.  </w:t>
        <w:br/>
        <w:t xml:space="preserve">7. Хранение, метка времени, архив.  </w:t>
        <w:br/>
        <w:t xml:space="preserve">8. Трансграничное признание.  </w:t>
        <w:br/>
        <w:t>9. Что это даёт для любых кадровых/охранительных документов (мост к Разделу B).</w:t>
        <w:br/>
        <w:br/>
        <w:t>### Карточка B — ЭДО в ОТ</w:t>
        <w:br/>
        <w:br/>
        <w:t xml:space="preserve">1. Есть ли **специальная** норма про электронные документы ОТ? (да / нет / частично)  </w:t>
        <w:br/>
        <w:t xml:space="preserve">2. Инструктажи и обучение: электронно или нет; какая идентификация.  </w:t>
        <w:br/>
        <w:t xml:space="preserve">3. Оценка рисков и наряды-допуски.  </w:t>
        <w:br/>
        <w:t xml:space="preserve">4. Ознакомление работника.  </w:t>
        <w:br/>
        <w:t xml:space="preserve">5. Учёт НС и отчётность регулятору.  </w:t>
        <w:br/>
        <w:t xml:space="preserve">6. Что инспектор считает достаточным доказательством (audit trail, сертификат, ЭП).  </w:t>
        <w:br/>
        <w:t xml:space="preserve">7. Персональные данные / медданные — ограничения.  </w:t>
        <w:br/>
        <w:t>8. Кейс применения (регулятор, крупный работодатель, судебное дело) — хотя бы один.</w:t>
        <w:br/>
        <w:br/>
        <w:t>Если по пункту данных нет — писать «не найдено на уровне закона; проверены: …». Пустая ячейка в НИР хуже, чем зафиксированный пробел.</w:t>
        <w:br/>
        <w:br/>
        <w:t>---</w:t>
        <w:br/>
        <w:br/>
        <w:t>## 7. Структура трёх результирующих разделов</w:t>
        <w:br/>
        <w:br/>
        <w:t>### Раздел A. Общетеоретический: регулирование ЭДО в иностранных государствах</w:t>
        <w:br/>
        <w:br/>
        <w:t>Цель раздела — дать **теорию моделей**, а не путеводитель «страна за страной» на 40 страниц.</w:t>
        <w:br/>
        <w:br/>
        <w:t>Рекомендуемый внутренний план:</w:t>
        <w:br/>
        <w:br/>
        <w:t xml:space="preserve">1. **Понятие и правовая природа ЭДО.** Электронный документ vs электронная запись vs электронное сообщение. Почему за рубежом чаще говорят *electronic record / signature / trust service*, а не «оператор ЭДО».  </w:t>
        <w:br/>
        <w:t xml:space="preserve">2. **Международная унификация (UNCITRAL).** Недискриминация, функциональная эквивалентность, технологическая нейтральность, MLETR как новый слой.  </w:t>
        <w:br/>
        <w:t xml:space="preserve">3. **Две базовые модели:**  </w:t>
        <w:br/>
        <w:t xml:space="preserve">   - иерархия подписей + квалифицированные услуги доверия (ЕС, близко РФ/ЕАЭС);  </w:t>
        <w:br/>
        <w:t xml:space="preserve">   - договорно-нейтральная (США, в значительной мере Сингапур).  </w:t>
        <w:br/>
        <w:t xml:space="preserve">4. **Инфраструктура доверия и идентичность.** УЦ / QTSP / кошелёк / DVS.  </w:t>
        <w:br/>
        <w:t xml:space="preserve">5. **Доказывание:** согласие, целостность, воспроизводимость, метка времени, registered delivery.  </w:t>
        <w:br/>
        <w:t xml:space="preserve">6. **Трансграничность:** автоматическое признание (ЕС) vs эквивалентность vs ДТС (ЕАЭС).  </w:t>
        <w:br/>
        <w:t>7. **Промежуточный вывод для ОТ:** общая рамка ЭДО либо разрешает электронные записи по ОТ «по умолчанию», либо требует специальной оговорки.</w:t>
        <w:br/>
        <w:br/>
        <w:t>Страны здесь — **иллюстрации моделей**, подробно их можно вынести в приложение.</w:t>
        <w:br/>
        <w:br/>
        <w:t>### Раздел B. Зарубежный опыт применения ЭДО в ОТ</w:t>
        <w:br/>
        <w:br/>
        <w:t>Цель — показать не «есть eIDAS», а **как это работает на процессах ОТ**.</w:t>
        <w:br/>
        <w:br/>
        <w:t>Рекомендуемый внутренний план — **по процессам, не по странам**:</w:t>
        <w:br/>
        <w:br/>
        <w:t xml:space="preserve">1. Исходный тезис: специальный «закон об ЭДО в ОТ» почти нигде не существует; применяется общее ЭДО + отраслевые требования к записи.  </w:t>
        <w:br/>
        <w:t xml:space="preserve">2. **Обучение и инструктажи.** США — electronic training records; Сингапур — TRS; Казахстан — электронный журнал + ЭЦП; ЕС/UK — документирование компетенции.  </w:t>
        <w:br/>
        <w:t xml:space="preserve">3. **Оценка рисков и наряды-допуски.** UK e-PTW и sufficient record; цифровые RA.  </w:t>
        <w:br/>
        <w:t xml:space="preserve">4. **Ознакомление работника с требованиями и ЛНА.** Электронный acknowledgement vs собственноручная подпись.  </w:t>
        <w:br/>
        <w:t xml:space="preserve">5. **Учёт травматизма и отчётность.** OSHA recordkeeping; RIDDOR online; электронные журналы НС.  </w:t>
        <w:br/>
        <w:t xml:space="preserve">6. **Контроль допуска:** нельзя допустить к работе без подтверждённого обучения (Сингапур как образец сервиса проверки).  </w:t>
        <w:br/>
        <w:t xml:space="preserve">7. **Типичные риски практики:** подпись «за другого», отсутствие audit trail, смешение LMS-клика и юридически значимого ознакомления, персональные данные.  </w:t>
        <w:br/>
        <w:t>8. Промежуточный вывод: где электронная форма в ОТ **прямо разрешена**, где **молчаливо допустима**, где **запрещена или исключена**.</w:t>
        <w:br/>
        <w:br/>
        <w:t>Страновые очерки — в приложение (1–2 страницы на юрисдикцию).</w:t>
        <w:br/>
        <w:br/>
        <w:t>### Раздел C. Сравнение с российской практикой</w:t>
        <w:br/>
        <w:br/>
        <w:t>Сравнение строить **по одним и тем же осям**, иначе получится «у них хорошо, у нас плохо».</w:t>
        <w:br/>
        <w:br/>
        <w:t>Оси сравнения:</w:t>
        <w:br/>
        <w:br/>
        <w:t>| Ось | Зарубежье | РФ (что класть напротив) |</w:t>
        <w:br/>
        <w:t>| --- | --- | --- |</w:t>
        <w:br/>
        <w:t>| Юридическая сила эл. формы | UNCITRAL / eIDAS / ESIGN | 63‑ФЗ |</w:t>
        <w:br/>
        <w:t>| Виды подписи | SES/AES/QES или нейтральная ЭП | ПЭП / УНЭП / УКЭП |</w:t>
        <w:br/>
        <w:t>| Кадровый ЭДО | часто общий режим + согласие | ст. 22.1–22.3 ТК РФ |</w:t>
        <w:br/>
        <w:t>| Документы ОТ в КЭДО | обычно допустимы при идентификации | ч. 3 ст. 22.1 ТК РФ: **исключены** инструктажи по ОТ и акты НС |</w:t>
        <w:br/>
        <w:t>| Обучение / проверка знания | e-records, реестры | ПП № 2464 (в т.ч. ред. № 805), реестр обученных |</w:t>
        <w:br/>
        <w:t>| Наряды-допуски / ОПР | e-PTW, digital RA | бумажная/смешанная практика, ЛНА работодателя |</w:t>
        <w:br/>
        <w:t>| Трансграничность | eIDAS / ДТС / взаимность | ст. 7 63‑ФЗ, Решение ЕЭК № 120, 315‑ФЗ |</w:t>
        <w:br/>
        <w:t>| Доказывание | retention + audit trail | практика судов по КЭДО / ЭП |</w:t>
        <w:br/>
        <w:br/>
        <w:t>Структура Раздела C:</w:t>
        <w:br/>
        <w:br/>
        <w:t xml:space="preserve">1. Точки сходства (иерархия подписи близка ЕС; недискриминация эл. формы есть).  </w:t>
        <w:br/>
        <w:t xml:space="preserve">2. Точки расхождения (исключение инструктажей и актов НС из КЭДО — главный empirically видимый разрыв).  </w:t>
        <w:br/>
        <w:t xml:space="preserve">3. Что из зарубежного опыта **релевантно** для РФ (электронный журнал инструктажа по модели Казахстана; sufficient record по UK; реестр обучения по Сингапуру; OSHA-логика certification record).  </w:t>
        <w:br/>
        <w:t xml:space="preserve">4. Что **нельзя механически перенести** (американская нейтральность вместо УКЭП в B2G; обязательный EUDI-кошелёк; MLETR в кадровые документы).  </w:t>
        <w:br/>
        <w:t>5. Предложения de lege ferenda и de lege lata (что менять в ТК/2464, а что закрывается ЛНА и УНЭП уже сейчас).</w:t>
        <w:br/>
        <w:br/>
        <w:t>---</w:t>
        <w:br/>
        <w:br/>
        <w:t>## 8. Сравнительная матрица (рабочий инструмент)</w:t>
        <w:br/>
        <w:br/>
        <w:t>Вести в Excel с первого дня поиска. Строки — юрисдикции. Столбцы:</w:t>
        <w:br/>
        <w:br/>
        <w:t>**Блок A (общее ЭДО):** акт; модель подписи; УЦ/trust; исключения; трансграничность; архив/метка времени.</w:t>
        <w:br/>
        <w:br/>
        <w:t>**Блок B (ОТ):** e-инструктаж (да/нет/условно); e-обучение; e-ОПР; e-наряд-допуск; e-ознакомление; e-НС; спецнорма или общий режим; ключевой источник.</w:t>
        <w:br/>
        <w:br/>
        <w:t>**Блок C:** близость к РФ (высокая/средняя/низкая); что взять; что не брать.</w:t>
        <w:br/>
        <w:br/>
        <w:t>Цвет: зелёный — прямо разрешено, жёлтый — выводится из общего ЭДО, красный — исключено/запрещено, серый — не найдено.</w:t>
        <w:br/>
        <w:br/>
        <w:t>Именно эта матрица потом становится таблицами в Разделах A–C и в приложениях.</w:t>
        <w:br/>
        <w:br/>
        <w:t>---</w:t>
        <w:br/>
        <w:br/>
        <w:t>## 9. Как делать практически (порядок работ)</w:t>
        <w:br/>
        <w:br/>
        <w:t>Идти не «сначала все страны по ЭДО, потом все по ОТ», а **страна целиком двумя карточками**, иначе потеряется связь общего и отраслевого.</w:t>
        <w:br/>
        <w:br/>
        <w:t>**Шаг 1. Рамка.** Закрыть UNCITRAL + eIDAS + 63‑ФЗ + ст. 22.1 ТК РФ + ПП 2464. Это «линейка», без неё не с чем сравнивать.</w:t>
        <w:br/>
        <w:br/>
        <w:t>**Шаг 2. Ядро юрисдикций.** По очереди: ЕС → UK → США → Сингапур → Китай → Казахстан/ЕАЭС. На каждую: карточка A, карточка B, 5–10 официальных URL.</w:t>
        <w:br/>
        <w:br/>
        <w:t xml:space="preserve">**Шаг 3. Практика ОТ.** Для каждой страны найти минимум:  </w:t>
        <w:br/>
        <w:t xml:space="preserve">- 1 норму или гайд про записи обучения/инструктажа,  </w:t>
        <w:br/>
        <w:t xml:space="preserve">- 1 про травматизм или отчётность,  </w:t>
        <w:br/>
        <w:t>- 1 про то, что инспектор считает доказательством.</w:t>
        <w:br/>
        <w:br/>
        <w:t xml:space="preserve">**Шаг 4. Сборка Раздела A.** Текст по моделям, страны — примеры.  </w:t>
        <w:br/>
        <w:t xml:space="preserve">**Шаг 5. Сборка Раздела B.** Текст по процессам ОТ, страны — примеры.  </w:t>
        <w:br/>
        <w:t>**Шаг 6. Сборка Раздела C.** Только после заполненной матрицы. Сначала таблица расхождений, потом предложения.</w:t>
        <w:br/>
        <w:br/>
        <w:t>**Шаг 7. Верификация.** По каждому ключевому утверждению в тексте должна быть сноска на акт уровня 1–3. Если сноски нет — утверждение либо убирается, либо помечается как гипотеза.</w:t>
        <w:br/>
        <w:br/>
        <w:t>Ориентир объёма (если НИР стандартного формата): Раздел A — 12–18 стр.; Раздел B — 12–18 стр.; Раздел C — 8–12 стр.; приложения — страновые карточки.</w:t>
        <w:br/>
        <w:br/>
        <w:t>---</w:t>
        <w:br/>
        <w:br/>
        <w:t>## 10. Критерии качества раздела (чтобы НИР не свалился в обзор новостей)</w:t>
        <w:br/>
        <w:br/>
        <w:t>Раздел A считается собранным, если из текста можно ответить:</w:t>
        <w:br/>
        <w:br/>
        <w:t xml:space="preserve">- почему электронный документ за рубежом имеет силу;  </w:t>
        <w:br/>
        <w:t xml:space="preserve">- чем ЕС отличается от США;  </w:t>
        <w:br/>
        <w:t>- где в этой рамке место подписи, архива и трансграничности.</w:t>
        <w:br/>
        <w:br/>
        <w:t>Раздел B считается собранным, если по каждому процессу ОТ (инструктаж, обучение, ОПР, наряд, НС) сказано:</w:t>
        <w:br/>
        <w:br/>
        <w:t xml:space="preserve">- можно ли электронно;  </w:t>
        <w:br/>
        <w:t xml:space="preserve">- на каком основании (спецнорма или общий закон);  </w:t>
        <w:br/>
        <w:t xml:space="preserve">- чем доказывать;  </w:t>
        <w:br/>
        <w:t>- какой стране это ближе.</w:t>
        <w:br/>
        <w:br/>
        <w:t>Раздел C считается собранным, если есть:</w:t>
        <w:br/>
        <w:br/>
        <w:t xml:space="preserve">- прямое сопоставление с ч. 3 ст. 22.1 ТК РФ и 2464;  </w:t>
        <w:br/>
        <w:t xml:space="preserve">- список заимствований с указанием, **какую статью/пробел РФ они закрывают**;  </w:t>
        <w:br/>
        <w:t>- список того, что переносить нельзя, с причиной.</w:t>
        <w:br/>
        <w:br/>
        <w:t>---</w:t>
        <w:br/>
        <w:br/>
        <w:t>## 11. Что уже есть и куда это класть</w:t>
        <w:br/>
        <w:br/>
        <w:t>Поиск не с нуля: по ядру юрисдикций уже собраны страновые обзоры.</w:t>
        <w:br/>
        <w:br/>
        <w:t>| Заготовка | Куда в НИР |</w:t>
        <w:br/>
        <w:t>| --- | --- |</w:t>
        <w:br/>
        <w:t>| `Анализ_законодательства_иностранных_государств_ЭДО.md` + Word `edo_by_country/` | сырьё Раздела A и приложения |</w:t>
        <w:br/>
        <w:t>| `Анализ_..._ЭДО_в_ОТ.md` + Word `edo_ot_by_country/` | сырьё Раздела B и приложения |</w:t>
        <w:br/>
        <w:t>| Сводные рекомендации «что взять / не брать» | черновик выводов Раздела C |</w:t>
        <w:br/>
        <w:br/>
        <w:t>Этого **недостаточно как глав НИР**. Нужно:</w:t>
        <w:br/>
        <w:br/>
        <w:t xml:space="preserve">1. Переписать A **по моделям**, а не копировать страновые Word подряд.  </w:t>
        <w:br/>
        <w:t xml:space="preserve">2. Переписать B **по процессам ОТ**.  </w:t>
        <w:br/>
        <w:t xml:space="preserve">3. Усилить B первичными актами ОТ (HSE, OSHA 1904, WSH Act, правила РК по журналу инструктажа) — сейчас часть выводов опирается на общее ЭДО.  </w:t>
        <w:br/>
        <w:t xml:space="preserve">4. Добавить в C судебную/инспекционную практику РФ по КЭДО и исключению инструктажей.  </w:t>
        <w:br/>
        <w:t>5. Проставить единообразный научно-справочный аппарат (ГОСТ Р 7.0.5).</w:t>
        <w:br/>
        <w:br/>
        <w:t>---</w:t>
        <w:br/>
        <w:br/>
        <w:t>## 12. Одна схема на одну страницу</w:t>
        <w:br/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