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color w:val="1F4E79"/>
          <w:sz w:val="32"/>
        </w:rPr>
        <w:t>ЭДО в охране труда: Казахстан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555555"/>
          <w:sz w:val="22"/>
        </w:rPr>
        <w:t>Сравнительный обзор с Российской Федерацией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Документ посвящён электронному документообороту в охране труда (OSH/OT): журналы и записи инструктажей/обучения, оценка рисков, учёт травматизма, ознакомление с ЛНА по ОТ, взаимодействие с регулятором. Сравнение — с правовой моделью Российской Федерации.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1F4E79"/>
          <w:sz w:val="28"/>
        </w:rPr>
        <w:t>1. Как устроен ЭДО в охране труда в этой юрисдикции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Правила обучения, инструктирования и проверки знаний по безопасности и охране труда (приказ МЗСР РК № 1019 с изменениями) прямо допускают электронную форму ключевых документов ОТ.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Журнал регистрации инструктажа на рабочем месте может вестись на бумаге или в электронном виде с учётом законодательства об электронном документе и ЭЦП; при электронном ведении сведения удостоверяются ЭЦП.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Протокол проверки знаний может оформляться на бумаге или как электронный документ, удостоверенный ЭЦП членов комиссии.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Это ближайший к РФ пример постсоветского регулирования, где электронный журнал инструктажа легализован явно.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1F4E79"/>
          <w:sz w:val="28"/>
        </w:rPr>
        <w:t>2. Ключевые особенности именно для ОТ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Прямое разрешение электронного журнала инструктажей.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Обязательная ЭЦП при электронном ведении.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Электронные протоколы проверки знаний.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Связка с Законом РК № 370 об электронном документе и ЭЦП.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1F4E79"/>
          <w:sz w:val="28"/>
        </w:rPr>
        <w:t>3. База сравнения: ЭДО в охране труда РФ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КЭДО (ст. 22.1–22.3 ТК РФ) в целом применим к кадровым/организационным документам по ОТ (приказы, инструкции, ознакомление с ЛНА), если они не входят в исключения.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Прямое исключение из КЭДО (ч. 3 ст. 22.1 ТК РФ): документы, подтверждающие прохождение инструктажей по охране труда (в т.ч. лично подписываемые работником), а также акты о несчастном случае на производстве.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Практика Минтруда / ГИТ: журналы инструктажей и аналогичные подтверждения прохождения инструктажа на текущий момент ориентированы на бумажный носитель с собственноручной подписью; «только ЭП вместо личной подписи» по правилам КЭДО — недопустимо.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Обучение по ОТ — Правила, утв. ПП РФ № 2464: программы, протоколы проверки знания, реестры обученных; часть процессов цифровизируется (в т.ч. взаимодействие с Минтрудом), но фиксация инструктажей остаётся «узким местом».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Общая рамка ЭП — ФЗ № 63‑ФЗ (ПЭП/УНЭП/УКЭП); для иных документов ОТ электронная форма возможна при соблюдении закона и ЛНА работодателя.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Источники по РФ: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/>
          <w:sz w:val="22"/>
        </w:rPr>
        <w:t xml:space="preserve">ТК РФ, ст. 22.1–22.3 (в т.ч. ч. 3 ст. 22.1 — исключения): </w:t>
      </w:r>
      <w:r>
        <w:rPr>
          <w:rFonts w:ascii="Times New Roman" w:hAnsi="Times New Roman" w:eastAsia="Times New Roman"/>
          <w:b w:val="0"/>
          <w:color w:val="0563C1"/>
          <w:sz w:val="22"/>
        </w:rPr>
        <w:t>https://www.consultant.ru/document/cons_doc_LAW_34683/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/>
          <w:sz w:val="22"/>
        </w:rPr>
        <w:t xml:space="preserve">ПП РФ № 2464 — Правила обучения по охране труда: </w:t>
      </w:r>
      <w:r>
        <w:rPr>
          <w:rFonts w:ascii="Times New Roman" w:hAnsi="Times New Roman" w:eastAsia="Times New Roman"/>
          <w:b w:val="0"/>
          <w:color w:val="0563C1"/>
          <w:sz w:val="22"/>
        </w:rPr>
        <w:t>https://www.consultant.ru/document/cons_doc_LAW_405416/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/>
          <w:sz w:val="22"/>
        </w:rPr>
        <w:t xml:space="preserve">ФЗ № 63‑ФЗ «Об электронной подписи»: </w:t>
      </w:r>
      <w:r>
        <w:rPr>
          <w:rFonts w:ascii="Times New Roman" w:hAnsi="Times New Roman" w:eastAsia="Times New Roman"/>
          <w:b w:val="0"/>
          <w:color w:val="0563C1"/>
          <w:sz w:val="22"/>
        </w:rPr>
        <w:t>https://www.consultant.ru/document/cons_doc_LAW_112701/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/>
          <w:sz w:val="22"/>
        </w:rPr>
        <w:t xml:space="preserve">ГАРАНТ — ознакомление с документами ОТ через ЭДО / позиция по журналам: </w:t>
      </w:r>
      <w:r>
        <w:rPr>
          <w:rFonts w:ascii="Times New Roman" w:hAnsi="Times New Roman" w:eastAsia="Times New Roman"/>
          <w:b w:val="0"/>
          <w:color w:val="0563C1"/>
          <w:sz w:val="22"/>
        </w:rPr>
        <w:t>https://www.garant.ru/consult/work_law/1681574/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1F4E79"/>
          <w:sz w:val="28"/>
        </w:rPr>
        <w:t>4. Сравнительный анализ с ЭДО в ОТ РФ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Главный контраст с РФ: Казахстан разрешает электронный журнал инструктажа; РФ через ч. 3 ст. 22.1 ТК РФ фактически блокирует перевод подтверждения инструктажей в КЭДО/чистый электронный вид.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Сходство: сохраняется требование фиксации инструктируемого и инструктирующего; меняется носитель и способ подписи.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Для ЕАЭС это важный ориентир гармонизации.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1F4E79"/>
          <w:sz w:val="28"/>
        </w:rPr>
        <w:t>5. Что из этой практики можно добавить в РФ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Прямо легализовать в ТК РФ / № 2464 электронный журнал инструктажей с УКЭП/УНЭП сторон и требованиями к неизменности записи — по модели приказа № 1019 РК.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Разрешить электронный протокол проверки знания требований ОТ с ЭП членов комиссии (частично уже движется практика — нужна ясность без риска претензий ГИТ).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При трансграничных работах в ЕАЭС — взаимно признавать электронные записи инструктажей/обучения через ДТС.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1F4E79"/>
          <w:sz w:val="28"/>
        </w:rPr>
        <w:t>6. Что не стоит переносить / что упростить у нас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Не оставлять «серую зону», когда работодатель ведёт электронный журнал «для себя», а для проверки печатает бумагу с «дорисованными» подписями — нужна одна легальная электронная форма.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Не делать ЭЦП обязательной только у работника при отсутствии ЭП у инструктирующего: обе стороны записи должны быть удостоверены.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1F4E79"/>
          <w:sz w:val="28"/>
        </w:rPr>
        <w:t>7. Ссылки на источники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/>
          <w:sz w:val="22"/>
        </w:rPr>
        <w:t xml:space="preserve">Правила обучения/инструктирования ОТ РК (текст/обзор MyBuh, приказ № 1019): </w:t>
      </w:r>
      <w:r>
        <w:rPr>
          <w:rFonts w:ascii="Times New Roman" w:hAnsi="Times New Roman" w:eastAsia="Times New Roman"/>
          <w:b w:val="0"/>
          <w:color w:val="0563C1"/>
          <w:sz w:val="22"/>
        </w:rPr>
        <w:t>https://zakon.mybuh.kz/rus/docs/v1500012665/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/>
          <w:sz w:val="22"/>
        </w:rPr>
        <w:t xml:space="preserve">PDF редакции правил (пример публикации): </w:t>
      </w:r>
      <w:r>
        <w:rPr>
          <w:rFonts w:ascii="Times New Roman" w:hAnsi="Times New Roman" w:eastAsia="Times New Roman"/>
          <w:b w:val="0"/>
          <w:color w:val="0563C1"/>
          <w:sz w:val="22"/>
        </w:rPr>
        <w:t>https://www.agsa.kz/uploads/docs/1726905121.21-08-2024.rus.pdf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/>
          <w:sz w:val="22"/>
        </w:rPr>
        <w:t xml:space="preserve">Закон РК № 370 об электронном документе и ЭЦП: </w:t>
      </w:r>
      <w:r>
        <w:rPr>
          <w:rFonts w:ascii="Times New Roman" w:hAnsi="Times New Roman" w:eastAsia="Times New Roman"/>
          <w:b w:val="0"/>
          <w:color w:val="0563C1"/>
          <w:sz w:val="22"/>
        </w:rPr>
        <w:t>https://adilet.zan.kz/rus/docs/Z030000370_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/>
          <w:sz w:val="22"/>
        </w:rPr>
        <w:t>Примечание: обзор информационно‑аналитический, не является юридической консультацией. Актуальные редакции иностранных актов нужно сверять по официальным публикациям.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