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охране труда: Франция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Code du travail L. 4121‑1, L. 4121‑2 (обязанность безопасности); L. 4141 (информация и обучение); CC 1366–1367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L. 4121‑1/4121‑2: работодатель принимает необходимые меры безопасности. L. 4141: информация и обучение. Нет запрета вести учёт обучения электронно.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Cass. soc. 28 февраля 2024, n° 22‑15.624: если работник связывает несчастный случай с нарушением профилактики, именно работодатель должен доказать, что принял все меры L. 4121. Апелляция, переложившая бремя на работника («сам не объяснил обстоятельства травмы»), отменена.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В этом свете электронный журнал — инструмент доказывания мер (обучение, инструктаж, СИЗ), а не самоцель. Слабая система (клики без идентификации, сканы подписей) не поможет снять бремя 22‑15.624.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Cass. soc. 21‑19.841 полезна как предостережение: «вставил подпись начальника картинкой» — не электронная подпись. Для журнала ОТ это прямой риск.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Бремя мер безопасности — на работодателе даже в иске о судебном расторжении договора.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Нет статутного запрета e‑учёта обучения.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Скан подписи не лечит форму журнала как e‑signature.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 ч. 3 (исключения из кадрового ЭДО):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от 24.12.2021 № 2464 (обучение по охране труда):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Франция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 записей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После несчастного случая работодатель должен доказать, что принял все меры L. 4121. Электронные записи обучения — одно из возможных доказательств, но скан «подписи в журнале» сам по себе не электронная подпись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Code du travail L. 4121‑1 (Légifrance)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Подпись / форма журнала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Для журнала ОТ закон не требует QES. Но если работодатель хочет презумпцию авторства записи — нужна QES. Скан (Cass. soc. 21‑19.841) не является e‑signature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 ч. 3 (исключения из кадрового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Доверие / система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Внутренние регистры + бремя доказывания на работодателе (Cass. soc. 22‑15.624)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ПП РФ от 24.12.2021 № 2464 (обучение по охране труда)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после НС работодатель доказывает инструктаж и меры.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Франция не выводит акты НС и журналы из ЭДО законом.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 от Германии: французская презумпция подписи жёстче (только QES), немецкая форма инструктажа мягче (подписи может не быть).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Связать электронный журнал ОТ с бременем доказывания мер по 2464 / ТК: система должна позволять работодателю доказать факт, дату, тему и лицо.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Запретить выдавать скан подписи за ЭП в журналах (урок 21‑19.841).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путать «презумпцию QES» с «обязанностью подписывать каждый инструктаж УКЭП».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Code du travail L. 4121‑1 (Légifrance):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https://www.legifrance.gouv.fr/codes/article_lc/LEGIARTI000006903144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Cass. soc. 28.02.2024, n° 22‑15.624 (обзор):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https://www.lemag-juridique.com/articles/responsabilite-preuve-manquement-lemployeur-regles-prevention-securite-lorigine-laccident-travail-salarie-6418.htm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Cass. soc. 14.12.2022, n° 21‑19.841 (KPMG):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https://kpmg.com/av/fr/avocats/eclairages/2023/01/valeur-juridique-de-la-signature-numerisee.html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egifrance.gouv.fr/codes/article_lc/LEGIARTI000006903144" TargetMode="External"/><Relationship Id="rId10" Type="http://schemas.openxmlformats.org/officeDocument/2006/relationships/hyperlink" Target="https://www.lemag-juridique.com/articles/responsabilite-preuve-manquement-lemployeur-regles-prevention-securite-lorigine-laccident-travail-salarie-6418.htm" TargetMode="External"/><Relationship Id="rId11" Type="http://schemas.openxmlformats.org/officeDocument/2006/relationships/hyperlink" Target="https://kpmg.com/av/fr/avocats/eclairages/2023/01/valeur-juridique-de-la-signature-numerisee.html" TargetMode="External"/><Relationship Id="rId12" Type="http://schemas.openxmlformats.org/officeDocument/2006/relationships/hyperlink" Target="https://www.consultant.ru/document/cons_doc_LAW_34683/" TargetMode="External"/><Relationship Id="rId13" Type="http://schemas.openxmlformats.org/officeDocument/2006/relationships/hyperlink" Target="https://www.consultant.ru/document/cons_doc_LAW_405146/" TargetMode="External"/><Relationship Id="rId14" Type="http://schemas.openxmlformats.org/officeDocument/2006/relationships/hyperlink" Target="https://www.consultant.ru/document/cons_doc_LAW_1127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