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Сравнение семи стран между собой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Германия, Беларусь, Сербия, Испания, Ирландия, Франция, Кения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Зачем сравнивать именно эту семёрку</w:t>
      </w:r>
    </w:p>
    <w:p>
      <w:r>
        <w:rPr>
          <w:rFonts w:ascii="Calibri" w:hAnsi="Calibri" w:eastAsia="Calibri"/>
          <w:b w:val="0"/>
          <w:i w:val="0"/>
          <w:sz w:val="24"/>
        </w:rPr>
        <w:t>Семёрка закрывает четыре модели, которых не хватало в предыдущем комплекте (ЕС как блок, UK, США, Сингапур, Китай, Казахстан): национальные слои eIDAS (DE/ES/IE/FR), eIDAS‑подобный кандидат (RS), PKI‑ЭЦП ЕАЭС (BY), UNCITRAL + жёсткий доказательственный фильтр (KE).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eIDAS (EU) 910/2014, EUR-Lex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</w:p>
    <w:p>
      <w:pPr>
        <w:pStyle w:val="Heading1"/>
      </w:pPr>
      <w:r>
        <w:t>2. Чем похожи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Все семь признают электронный документ / электронную подпись: нигде электронная форма сама по себе не делает акт ничтожным.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Везде есть «верхний» уровень подписи, близкий к собственноручной: QES (DE, ES, IE, FR, RS) или ЭЦП / advanced e‑signature (BY, KE).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Ни в одной из семи нет найденного «громкого» прецедента именно про электронный журнал инструктажа как самостоятельный предмет иска — суды спорят о подписи, допустимости файла и факте обучения.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Во всех юрисдикциях после травмы/НС работодатель фактически должен уметь доказать обучение/инструктаж/меры, независимо от носителя.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Скан картинки подписи нигде не считается полноценной квалифицированной / advanced электронной подписью (прямо — Франция 21‑19.841; по смыслу — eIDAS, 113‑З, KICA).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eIDAS (EU) 910/2014, EUR-Lex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Закон об электронном документе РС 94/2017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Cass. 3e civ., 5 mars 2026, n° 24‑21.034 (Legalis)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Cass. soc. 14.12.2022, n° 21‑19.841 (KPMG)</w:t>
        </w:r>
      </w:hyperlink>
    </w:p>
    <w:p>
      <w:pPr>
        <w:pStyle w:val="Heading1"/>
      </w:pPr>
      <w:r>
        <w:t>3. Чем различаются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Страна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Модель ЭДО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ЭДО в ОТ / журнал обучения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Судебный акцент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Германия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eIDAS + BGB‑формы; с 2025 Textform в кадрах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Подпись на Unterweisung не обязательна; важен содержание и оценка рисков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Zugang QES (BGH 2024); содержание инструктажа (BAG 2011)</w:t>
            </w:r>
          </w:p>
        </w:tc>
        <w:tc>
          <w:tcPr>
            <w:tcW w:type="dxa" w:w="1905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eIDAS (EU) 910/2014, EUR-Lex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Беларусь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Закон 113‑З, государственная ЭЦП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Прямо разрешён электронный журнал (п. 35 Инстр. 175)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84 ХПК: эл. документ = письменное доказательство</w:t>
            </w:r>
          </w:p>
        </w:tc>
        <w:tc>
          <w:tcPr>
            <w:tcW w:type="dxa" w:w="1905"/>
          </w:tcPr>
          <w:p>
            <w:r/>
            <w:hyperlink r:id="rId10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РБ № 113‑З (pravo.by)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Сербия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eIDAS‑подобный закон; трудовой формализм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Электроника форм ОТ с QES, но Form 6 (обучение) — бумага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Без QES процессуальный документ «не подан»</w:t>
            </w:r>
          </w:p>
        </w:tc>
        <w:tc>
          <w:tcPr>
            <w:tcW w:type="dxa" w:w="1905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об электронном документе РС 94/2017 (Paragraf)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Испания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eIDAS + LEC 326.4 (презумпция QTSP)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Запрета e‑учёта обучения нет; art. 19 LPRL — содержание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Два режима: презумпция QTSP и мягкие pantallazos</w:t>
            </w:r>
          </w:p>
        </w:tc>
        <w:tc>
          <w:tcPr>
            <w:tcW w:type="dxa" w:w="1905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Ley 6/2020 (BOE) — правка LEC 326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Ирландия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ECA 2000 s. 9 + eIDAS; common law consent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Запрета нет; суд проверяет реальность обучения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Click‑wrap (Ryanair); training as safety duty (Redmond)</w:t>
            </w:r>
          </w:p>
        </w:tc>
        <w:tc>
          <w:tcPr>
            <w:tcW w:type="dxa" w:w="1905"/>
          </w:tcPr>
          <w:p>
            <w:r/>
            <w:hyperlink r:id="rId14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ECA 2000, section 9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Франция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CC 1366–1367; презумпция только у QES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Запрета нет; бремя мер L.4121 на работодателе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Cass. 2026 — нет презумпции без QES; Cass. 2024 — бремя ОТ</w:t>
            </w:r>
          </w:p>
        </w:tc>
        <w:tc>
          <w:tcPr>
            <w:tcW w:type="dxa" w:w="1905"/>
          </w:tcPr>
          <w:p>
            <w:r/>
            <w:hyperlink r:id="rId15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Cass. 3e civ., 5 mars 2026, n° 24‑21.034 (Legalis)</w:t>
              </w:r>
            </w:hyperlink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Кения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KICA 83P + Evidence Act 106B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OSHA молчит об e‑журнале; в суде — 106B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Без сертификата 106B электронная запись снимается</w:t>
            </w:r>
          </w:p>
        </w:tc>
        <w:tc>
          <w:tcPr>
            <w:tcW w:type="dxa" w:w="1905"/>
          </w:tcPr>
          <w:p>
            <w:r/>
            <w:hyperlink r:id="rId11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[2025] KEELC 392 (Kenya Law)</w:t>
              </w:r>
            </w:hyperlink>
          </w:p>
        </w:tc>
      </w:tr>
    </w:tbl>
    <w:p/>
    <w:p>
      <w:pPr>
        <w:pStyle w:val="Heading1"/>
      </w:pPr>
      <w:r>
        <w:t>4. Кластеры</w:t>
      </w:r>
    </w:p>
    <w:p>
      <w:r>
        <w:rPr>
          <w:rFonts w:ascii="Calibri" w:hAnsi="Calibri" w:eastAsia="Calibri"/>
          <w:b w:val="0"/>
          <w:i w:val="0"/>
          <w:sz w:val="24"/>
        </w:rPr>
        <w:t>Кластер A — ЕС‑четвёрка (Германия, Испания, Ирландия, Франция). Общий eIDAS, разный национальный слой. Германия смягчает трудовую форму (Textform) и не требует подписи на инструктаже. Испания даёт самую удобную процессуальную презумпцию квалифицированному сервису. Франция — самая строгая презумпция (только QES) и отдельно бьёт по скану подписи. Ирландия добавляет common law: согласие и notice важнее сертификата.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eIDAS (EU) 910/2014, EUR-Lex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7">
        <w:r>
          <w:rPr>
            <w:color w:val="0563C1"/>
            <w:u w:val="single"/>
            <w:sz w:val="18"/>
            <w:rFonts w:ascii="Calibri" w:hAnsi="Calibri"/>
          </w:rPr>
          <w:t xml:space="preserve">Code civil, art. 1366 (Légifrance)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ECA 2000, section 9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Кластер B — Сербия. Закон об ЭДО как в ЕС, суды формалистичны по QES, а правилник 2025 г. вывел учёт обучения (Form 6) на бумагу. Это «электронная ОТ минус журнал обучения».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Закон об электронном документе РС 94/2017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8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9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Кластер C — Беларусь. PKI как в РФ/Казахстане, но п. 35 Инструкции № 175 прямо легализует электронный журнал. Это единственный в семёрке положительный статутный образец для журналов инструктажа.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0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Кластер D — Кения. Подпись может равняться wet ink, но суд не примет электронную запись без 106B. ОТ‑закон 2007 г. про обучение молчит о носителе. Цифровизация без доказательственного конверта здесь опаснее, чем в ЕС.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[2025] KEELC 392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1">
        <w:r>
          <w:rPr>
            <w:color w:val="0563C1"/>
            <w:u w:val="single"/>
            <w:sz w:val="18"/>
            <w:rFonts w:ascii="Calibri" w:hAnsi="Calibri"/>
          </w:rPr>
          <w:t xml:space="preserve">KICA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2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3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</w:p>
    <w:p>
      <w:pPr>
        <w:pStyle w:val="Heading1"/>
      </w:pPr>
      <w:r>
        <w:t>5. Шкала «можно ли вести журнал обучения / инструктажа электронно»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Явно да, специальной нормой: Беларусь (п. 35 Инстр. 175).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0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Фактически да, потому что закон не требует подписи журнала: Германия (§ 12 ArbSchG).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4">
        <w:r>
          <w:rPr>
            <w:color w:val="0563C1"/>
            <w:u w:val="single"/>
            <w:sz w:val="18"/>
            <w:rFonts w:ascii="Calibri" w:hAnsi="Calibri"/>
          </w:rPr>
          <w:t xml:space="preserve">BAG 1 ABR 104/09 (11.01.2011)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5">
        <w:r>
          <w:rPr>
            <w:color w:val="0563C1"/>
            <w:u w:val="single"/>
            <w:sz w:val="18"/>
            <w:rFonts w:ascii="Calibri" w:hAnsi="Calibri"/>
          </w:rPr>
          <w:t xml:space="preserve">ArbSchG (gesetze-im-internet)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6">
        <w:r>
          <w:rPr>
            <w:color w:val="0563C1"/>
            <w:u w:val="single"/>
            <w:sz w:val="18"/>
            <w:rFonts w:ascii="Calibri" w:hAnsi="Calibri"/>
          </w:rPr>
          <w:t xml:space="preserve">ArbSchG § 12 — Unterweisung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Да через общие правила ЭДО / eIDAS, без запрета: Испания, Ирландия, Франция.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7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8">
        <w:r>
          <w:rPr>
            <w:color w:val="0563C1"/>
            <w:u w:val="single"/>
            <w:sz w:val="18"/>
            <w:rFonts w:ascii="Calibri" w:hAnsi="Calibri"/>
          </w:rPr>
          <w:t xml:space="preserve">SHWW Act 2005 (Irish Statute Book)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9">
        <w:r>
          <w:rPr>
            <w:color w:val="0563C1"/>
            <w:u w:val="single"/>
            <w:sz w:val="18"/>
            <w:rFonts w:ascii="Calibri" w:hAnsi="Calibri"/>
          </w:rPr>
          <w:t xml:space="preserve">Code du travail L. 4121‑1 (Légifrance)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Да для большинства форм ОТ, нет для учёта обучения: Сербия (Form 6).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8">
        <w:r>
          <w:rPr>
            <w:color w:val="0563C1"/>
            <w:u w:val="single"/>
            <w:sz w:val="18"/>
            <w:rFonts w:ascii="Calibri" w:hAnsi="Calibri"/>
          </w:rPr>
          <w:t xml:space="preserve">Закон о БЗР РС 35/2023 (Paragraf)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9">
        <w:r>
          <w:rPr>
            <w:color w:val="0563C1"/>
            <w:u w:val="single"/>
            <w:sz w:val="18"/>
            <w:rFonts w:ascii="Calibri" w:hAnsi="Calibri"/>
          </w:rPr>
          <w:t xml:space="preserve">Lexology: новые правилники ОТ, Form 6, электроника + QES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Закон молчит, суд может не допустить e‑запись без сертификата: Кения.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22">
        <w:r>
          <w:rPr>
            <w:color w:val="0563C1"/>
            <w:u w:val="single"/>
            <w:sz w:val="18"/>
            <w:rFonts w:ascii="Calibri" w:hAnsi="Calibri"/>
          </w:rPr>
          <w:t xml:space="preserve">Evidence Act Cap 80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30">
        <w:r>
          <w:rPr>
            <w:color w:val="0563C1"/>
            <w:u w:val="single"/>
            <w:sz w:val="18"/>
            <w:rFonts w:ascii="Calibri" w:hAnsi="Calibri"/>
          </w:rPr>
          <w:t xml:space="preserve">Evidence Act Cap 80, s. 106B (lex)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23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</w:p>
    <w:p>
      <w:pPr>
        <w:pStyle w:val="Heading1"/>
      </w:pPr>
      <w:r>
        <w:t>6. Источники (сводные)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eIDAS (EU) 910/2014, EUR-Lex: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VDG (gesetze-im-internet): </w:t>
      </w:r>
      <w:hyperlink r:id="rId31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https://www.gesetze-im-internet.de/vdg/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BGB § 126a — электронная форма: </w:t>
      </w:r>
      <w:hyperlink r:id="rId32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https://www.gesetze-im-internet.de/bgb/__126a.html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BGB § 126b — текстовая форма: </w:t>
      </w:r>
      <w:hyperlink r:id="rId33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https://www.gesetze-im-internet.de/bgb/__126b.html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BGB § 623 — расторжение трудового договора: </w:t>
      </w:r>
      <w:hyperlink r:id="rId34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https://www.gesetze-im-internet.de/bgb/__623.html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BGH VIII ZR 155/23 (27.11.2024), PDF суда: </w:t>
      </w:r>
      <w:hyperlink r:id="rId35">
        <w:r>
          <w:rPr>
            <w:color w:val="0563C1"/>
            <w:u w:val="single"/>
            <w:sz w:val="22"/>
            <w:rFonts w:ascii="Calibri" w:hAnsi="Calibri"/>
          </w:rPr>
          <w:t xml:space="preserve">https://www.bundesgerichtshof.de/SharedDocs/Entscheidungen/DE/Zivilsenate/VIII_ZS/2023/VIII_ZR_155-23.pdf?__blob=publicationFile&amp;v=1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BEG IV / трудовое право с 01.01.2025 (обзор): </w:t>
      </w:r>
      <w:hyperlink r:id="rId36">
        <w:r>
          <w:rPr>
            <w:color w:val="0563C1"/>
            <w:u w:val="single"/>
            <w:sz w:val="22"/>
            <w:rFonts w:ascii="Calibri" w:hAnsi="Calibri"/>
          </w:rPr>
          <w:t xml:space="preserve">https://www.pkf-fasselt.de/artikel/buerokratieentlastung-und-arbeitsrecht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BAG 1 ABR 104/09 (11.01.2011): </w:t>
      </w:r>
      <w:hyperlink r:id="rId24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ArbSchG (gesetze-im-internet): </w:t>
      </w:r>
      <w:hyperlink r:id="rId25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https://www.gesetze-im-internet.de/arbschg/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ArbSchG § 12 — Unterweisung: </w:t>
      </w:r>
      <w:hyperlink r:id="rId26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https://www.gesetze-im-internet.de/arbschg/__12.html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ArbSchG § 5 — оценка рисков: </w:t>
      </w:r>
      <w:hyperlink r:id="rId37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https://www.gesetze-im-internet.de/arbschg/__5.html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GefStoffV § 14: </w:t>
      </w:r>
      <w:hyperlink r:id="rId38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https://www.gesetze-im-internet.de/gefstoffv_2010/__14.html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РБ № 113‑З (pravo.by):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https://pravo.by/document/?guid=3871&amp;p0=H10900113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РБ № 113‑З, ст. 22 (текст статьи): </w:t>
      </w:r>
      <w:hyperlink r:id="rId39">
        <w:r>
          <w:rPr>
            <w:color w:val="0563C1"/>
            <w:u w:val="single"/>
            <w:sz w:val="22"/>
            <w:rFonts w:ascii="Calibri" w:hAnsi="Calibri"/>
          </w:rPr>
          <w:t xml:space="preserve">https://zakony-by.com/zakon_rb_ob_elektronnom_dokumente_i_elektronnoj_tsifrovoj_podpisi/22.htm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ХПК РБ (pravo.by): </w:t>
      </w:r>
      <w:hyperlink r:id="rId40">
        <w:r>
          <w:rPr>
            <w:color w:val="0563C1"/>
            <w:u w:val="single"/>
            <w:sz w:val="22"/>
            <w:rFonts w:ascii="Calibri" w:hAnsi="Calibri"/>
          </w:rPr>
          <w:t xml:space="preserve">https://pravo.by/document/?guid=3871&amp;p0=Hk9800219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Ст. 84 ХПК РБ: </w:t>
      </w:r>
      <w:hyperlink r:id="rId41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Электронные доказательства в КГС с 01.01.2026: </w:t>
      </w:r>
      <w:hyperlink r:id="rId42">
        <w:r>
          <w:rPr>
            <w:color w:val="0563C1"/>
            <w:u w:val="single"/>
            <w:sz w:val="22"/>
            <w:rFonts w:ascii="Calibri" w:hAnsi="Calibri"/>
          </w:rPr>
          <w:t xml:space="preserve">https://ibmedia.by/news/elektronnoe-dokazatelstvo-v-grazhdanskom-protsesse-glavnoe-o-novovvedenii-2026-goda/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№ 175, актуальный PDF Минтруда (п. 35):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PDF постановления № 175 (сводная ред.): </w:t>
      </w:r>
      <w:hyperlink r:id="rId43">
        <w:r>
          <w:rPr>
            <w:color w:val="0563C1"/>
            <w:u w:val="single"/>
            <w:sz w:val="22"/>
            <w:rFonts w:ascii="Calibri" w:hAnsi="Calibri"/>
          </w:rPr>
          <w:t xml:space="preserve">https://mintrud.gov.by/uploads/files/Post-MTSZ-175.pdf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об электронном документе РС 94/2017 (Paragraf):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https://www.paragraf.rs/propisi/zakon_o_elektronskom_dokumentu_elektronskoj_identifikaciji_i_uslugama_od_poverenja_u_elektronskom_poslovanju.html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Подача жалобы e‑mail / QES, Конституционный суд, XI.2023 (обзор PR Legal): </w:t>
      </w:r>
      <w:hyperlink r:id="rId44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Высший суд Ниша: приём электронных подач, QES: </w:t>
      </w:r>
      <w:hyperlink r:id="rId45">
        <w:r>
          <w:rPr>
            <w:color w:val="0563C1"/>
            <w:u w:val="single"/>
            <w:sz w:val="22"/>
            <w:rFonts w:ascii="Calibri" w:hAnsi="Calibri"/>
          </w:rPr>
          <w:t xml:space="preserve">https://ni.vi.sud.rs/tekst/1958/prijem-elektronskih-podnesaka.php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о БЗР РС 35/2023 (Paragraf):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 xml:space="preserve">https://www.paragraf.rs/propisi/zakon-o-bezbednosti-i-zdravlju-na-radu.html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Lexology: новые правилники ОТ, Form 6, электроника + QES: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DIER: электронное ведение, Form 6 на бумаге: </w:t>
      </w:r>
      <w:hyperlink r:id="rId46">
        <w:r>
          <w:rPr>
            <w:color w:val="0563C1"/>
            <w:u w:val="single"/>
            <w:sz w:val="22"/>
            <w:rFonts w:ascii="Calibri" w:hAnsi="Calibri"/>
          </w:rPr>
          <w:t xml:space="preserve">https://dier.rs/pravilnik-o-vodenju-i-rokovima-cuvanja-evidencija-u-oblasti-bezbednosti-i-zdravlja-na-radu-sta-donose-nove-izmene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Ley 6/2020 (BOE) — правка LEC 326: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LEC, art. 326 (BOE, текст кодекса): </w:t>
      </w:r>
      <w:hyperlink r:id="rId47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https://www.boe.es/buscar/act.php?id=BOE-A-2000-323#a326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LEC art. 326 (Iberley): </w:t>
      </w:r>
      <w:hyperlink r:id="rId48">
        <w:r>
          <w:rPr>
            <w:color w:val="0563C1"/>
            <w:u w:val="single"/>
            <w:sz w:val="22"/>
            <w:rFonts w:ascii="Calibri" w:hAnsi="Calibri"/>
          </w:rPr>
          <w:t xml:space="preserve">https://www.iberley.es/legislacion/articulo-326-ley-enjuiciamiento-civil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STS 116/2025, обзор LegalToday: </w:t>
      </w:r>
      <w:hyperlink r:id="rId49">
        <w:r>
          <w:rPr>
            <w:color w:val="0563C1"/>
            <w:u w:val="single"/>
            <w:sz w:val="22"/>
            <w:rFonts w:ascii="Calibri" w:hAnsi="Calibri"/>
          </w:rPr>
          <w:t xml:space="preserve">https://www.legaltoday.com/practica-juridica/derecho-penal/valor-probatorio-de-los-pantallazos-de-conversaciones-de-whatsapp-o-sus-transcripciones-sts-116-2025-de-13-de-febrero-2025-09-29/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LPRL 31/1995 (BOE): </w:t>
      </w:r>
      <w:hyperlink r:id="rId27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Estatuto de los Trabajadores (BOE): </w:t>
      </w:r>
      <w:hyperlink r:id="rId50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https://www.boe.es/buscar/act.php?id=BOE-A-2015-11430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LEX/AHK: ЭП в трудовых документах: </w:t>
      </w:r>
      <w:hyperlink r:id="rId51">
        <w:r>
          <w:rPr>
            <w:color w:val="0563C1"/>
            <w:u w:val="single"/>
            <w:sz w:val="22"/>
            <w:rFonts w:ascii="Calibri" w:hAnsi="Calibri"/>
          </w:rPr>
          <w:t xml:space="preserve">https://lex.ahk.es/actualidad-juridica/puede-la-empresa-emplear-la-firma-electronica-en-el-ambito-laboral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2000, section 9: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https://www.irishstatutebook.ie/eli/2000/act/27/section/9/enacted/en/html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2000, section 13: </w:t>
      </w:r>
      <w:hyperlink r:id="rId52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https://www.irishstatutebook.ie/eli/2000/act/27/section/13/enacted/en/html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Ryanair v Billigfluege.de [2010] IEHC 47: </w:t>
      </w:r>
      <w:hyperlink r:id="rId53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https://www.bailii.org/ie/cases/IEHC/2010/H47.html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Redmond v Tallaght University Hospital [2024] IEHC 167: </w:t>
      </w:r>
      <w:hyperlink r:id="rId54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SHWW Act 2005 (Irish Statute Book): </w:t>
      </w:r>
      <w:hyperlink r:id="rId28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https://www.irishstatutebook.ie/eli/2005/act/10/enacted/en/html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3e civ., 5 mars 2026, n° 24‑21.034 (Legalis):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https://www.legalis.net/jurisprudences/cour-de-cassation-civile-ch-civile-3-arret-du-5-mars-2026/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Code civil, art. 1366 (Légifrance):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https://www.legifrance.gouv.fr/codes/article_lc/LEGIARTI000032042219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Code civil, art. 1367 (Légifrance): </w:t>
      </w:r>
      <w:hyperlink r:id="rId55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https://www.legifrance.gouv.fr/codes/article_lc/LEGIARTI000032042224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Décret 2017‑1416: </w:t>
      </w:r>
      <w:hyperlink r:id="rId56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https://www.legifrance.gouv.fr/loda/id/JORFTEXT000035638541/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Code du travail L. 4121‑1 (Légifrance): </w:t>
      </w:r>
      <w:hyperlink r:id="rId29">
        <w:r>
          <w:rPr>
            <w:color w:val="0563C1"/>
            <w:u w:val="single"/>
            <w:sz w:val="22"/>
            <w:rFonts w:ascii="Calibri" w:hAnsi="Calibri"/>
          </w:rPr>
          <w:t xml:space="preserve">https://www.legifrance.gouv.fr/codes/article_lc/LEGIARTI000006903144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soc. 28.02.2024, n° 22‑15.624 (обзор): </w:t>
      </w:r>
      <w:hyperlink r:id="rId57">
        <w:r>
          <w:rPr>
            <w:color w:val="0563C1"/>
            <w:u w:val="single"/>
            <w:sz w:val="22"/>
            <w:rFonts w:ascii="Calibri" w:hAnsi="Calibri"/>
          </w:rPr>
          <w:t xml:space="preserve">https://www.lemag-juridique.com/articles/responsabilite-preuve-manquement-lemployeur-regles-prevention-securite-lorigine-laccident-travail-salarie-6418.htm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Cass. soc. 14.12.2022, n° 21‑19.841 (KPMG):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https://kpmg.com/av/fr/avocats/eclairages/2023/01/valeur-juridique-de-la-signature-numerisee.html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[2025] KEELC 392 (Kenya Law):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KICA (Kenya Law):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https://new.kenyalaw.org/akn/ke/act/1998/2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Evidence Act Cap 80 (Kenya Law):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https://new.kenyalaw.org/akn/ke/act/1963/46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Evidence Act Cap 80, s. 106B (lex): </w:t>
      </w:r>
      <w:hyperlink r:id="rId30">
        <w:r>
          <w:rPr>
            <w:color w:val="0563C1"/>
            <w:u w:val="single"/>
            <w:sz w:val="22"/>
            <w:rFonts w:ascii="Calibri" w:hAnsi="Calibri"/>
          </w:rPr>
          <w:t xml:space="preserve">https://kenyalaw.org/lex/actview.xql?actid=CAP.+80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OSHA 2007 (Kenya Law): </w:t>
      </w:r>
      <w:hyperlink r:id="rId23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Bigot Flowers v Cheboswony [2022] KEELRC 3772: </w:t>
      </w:r>
      <w:hyperlink r:id="rId58">
        <w:r>
          <w:rPr>
            <w:color w:val="0563C1"/>
            <w:u w:val="single"/>
            <w:sz w:val="22"/>
            <w:rFonts w:ascii="Calibri" w:hAnsi="Calibri"/>
          </w:rPr>
          <w:t xml:space="preserve">https://sheriahub.com/cases/ke/caselaw/bigot-flowers-kenya-ltd-v-cheboswony-employment-and-labour-relations-appeal-10of-2018-2022-keelrc-3772-klr-10may-2022-judgment.pdf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EN/TXT/?uri=CELEX:32014R0910" TargetMode="External"/><Relationship Id="rId10" Type="http://schemas.openxmlformats.org/officeDocument/2006/relationships/hyperlink" Target="https://pravo.by/document/?guid=3871&amp;p0=H10900113" TargetMode="External"/><Relationship Id="rId11" Type="http://schemas.openxmlformats.org/officeDocument/2006/relationships/hyperlink" Target="https://new.kenyalaw.org/akn/ke/judgment/keelc/2025/392/eng@2025-02-06" TargetMode="External"/><Relationship Id="rId12" Type="http://schemas.openxmlformats.org/officeDocument/2006/relationships/hyperlink" Target="https://www.paragraf.rs/propisi/zakon_o_elektronskom_dokumentu_elektronskoj_identifikaciji_i_uslugama_od_poverenja_u_elektronskom_poslovanju.html" TargetMode="External"/><Relationship Id="rId13" Type="http://schemas.openxmlformats.org/officeDocument/2006/relationships/hyperlink" Target="https://www.boe.es/eli/es/l/2020/11/11/6" TargetMode="External"/><Relationship Id="rId14" Type="http://schemas.openxmlformats.org/officeDocument/2006/relationships/hyperlink" Target="https://www.irishstatutebook.ie/eli/2000/act/27/section/9/enacted/en/html" TargetMode="External"/><Relationship Id="rId15" Type="http://schemas.openxmlformats.org/officeDocument/2006/relationships/hyperlink" Target="https://www.legalis.net/jurisprudences/cour-de-cassation-civile-ch-civile-3-arret-du-5-mars-2026/" TargetMode="External"/><Relationship Id="rId16" Type="http://schemas.openxmlformats.org/officeDocument/2006/relationships/hyperlink" Target="https://kpmg.com/av/fr/avocats/eclairages/2023/01/valeur-juridique-de-la-signature-numerisee.html" TargetMode="External"/><Relationship Id="rId17" Type="http://schemas.openxmlformats.org/officeDocument/2006/relationships/hyperlink" Target="https://www.legifrance.gouv.fr/codes/article_lc/LEGIARTI000032042219" TargetMode="External"/><Relationship Id="rId18" Type="http://schemas.openxmlformats.org/officeDocument/2006/relationships/hyperlink" Target="https://www.paragraf.rs/propisi/zakon-o-bezbednosti-i-zdravlju-na-radu.html" TargetMode="External"/><Relationship Id="rId19" Type="http://schemas.openxmlformats.org/officeDocument/2006/relationships/hyperlink" Target="https://www.lexology.com/library/detail.aspx?g=123a20c5-c0a7-425d-8c37-c9892c70dc93" TargetMode="External"/><Relationship Id="rId20" Type="http://schemas.openxmlformats.org/officeDocument/2006/relationships/hyperlink" Target="https://www.mintrud.gov.by/uploads/files/MTiSZ-175-po-sost.-na-02.09.2024.pdf" TargetMode="External"/><Relationship Id="rId21" Type="http://schemas.openxmlformats.org/officeDocument/2006/relationships/hyperlink" Target="https://new.kenyalaw.org/akn/ke/act/1998/2" TargetMode="External"/><Relationship Id="rId22" Type="http://schemas.openxmlformats.org/officeDocument/2006/relationships/hyperlink" Target="https://new.kenyalaw.org/akn/ke/act/1963/46" TargetMode="External"/><Relationship Id="rId23" Type="http://schemas.openxmlformats.org/officeDocument/2006/relationships/hyperlink" Target="https://new.kenyalaw.org/akn/ke/act/2007/15" TargetMode="External"/><Relationship Id="rId24" Type="http://schemas.openxmlformats.org/officeDocument/2006/relationships/hyperlink" Target="https://www.bundesarbeitsgericht.de/entscheidung/1-abr-104-09/" TargetMode="External"/><Relationship Id="rId25" Type="http://schemas.openxmlformats.org/officeDocument/2006/relationships/hyperlink" Target="https://www.gesetze-im-internet.de/arbschg/" TargetMode="External"/><Relationship Id="rId26" Type="http://schemas.openxmlformats.org/officeDocument/2006/relationships/hyperlink" Target="https://www.gesetze-im-internet.de/arbschg/__12.html" TargetMode="External"/><Relationship Id="rId27" Type="http://schemas.openxmlformats.org/officeDocument/2006/relationships/hyperlink" Target="https://www.boe.es/buscar/act.php?id=BOE-A-1995-24292" TargetMode="External"/><Relationship Id="rId28" Type="http://schemas.openxmlformats.org/officeDocument/2006/relationships/hyperlink" Target="https://www.irishstatutebook.ie/eli/2005/act/10/enacted/en/html" TargetMode="External"/><Relationship Id="rId29" Type="http://schemas.openxmlformats.org/officeDocument/2006/relationships/hyperlink" Target="https://www.legifrance.gouv.fr/codes/article_lc/LEGIARTI000006903144" TargetMode="External"/><Relationship Id="rId30" Type="http://schemas.openxmlformats.org/officeDocument/2006/relationships/hyperlink" Target="https://kenyalaw.org/lex/actview.xql?actid=CAP.+80" TargetMode="External"/><Relationship Id="rId31" Type="http://schemas.openxmlformats.org/officeDocument/2006/relationships/hyperlink" Target="https://www.gesetze-im-internet.de/vdg/" TargetMode="External"/><Relationship Id="rId32" Type="http://schemas.openxmlformats.org/officeDocument/2006/relationships/hyperlink" Target="https://www.gesetze-im-internet.de/bgb/__126a.html" TargetMode="External"/><Relationship Id="rId33" Type="http://schemas.openxmlformats.org/officeDocument/2006/relationships/hyperlink" Target="https://www.gesetze-im-internet.de/bgb/__126b.html" TargetMode="External"/><Relationship Id="rId34" Type="http://schemas.openxmlformats.org/officeDocument/2006/relationships/hyperlink" Target="https://www.gesetze-im-internet.de/bgb/__623.html" TargetMode="External"/><Relationship Id="rId35" Type="http://schemas.openxmlformats.org/officeDocument/2006/relationships/hyperlink" Target="https://www.bundesgerichtshof.de/SharedDocs/Entscheidungen/DE/Zivilsenate/VIII_ZS/2023/VIII_ZR_155-23.pdf?__blob=publicationFile&amp;v=1" TargetMode="External"/><Relationship Id="rId36" Type="http://schemas.openxmlformats.org/officeDocument/2006/relationships/hyperlink" Target="https://www.pkf-fasselt.de/artikel/buerokratieentlastung-und-arbeitsrecht" TargetMode="External"/><Relationship Id="rId37" Type="http://schemas.openxmlformats.org/officeDocument/2006/relationships/hyperlink" Target="https://www.gesetze-im-internet.de/arbschg/__5.html" TargetMode="External"/><Relationship Id="rId38" Type="http://schemas.openxmlformats.org/officeDocument/2006/relationships/hyperlink" Target="https://www.gesetze-im-internet.de/gefstoffv_2010/__14.html" TargetMode="External"/><Relationship Id="rId39" Type="http://schemas.openxmlformats.org/officeDocument/2006/relationships/hyperlink" Target="https://zakony-by.com/zakon_rb_ob_elektronnom_dokumente_i_elektronnoj_tsifrovoj_podpisi/22.htm" TargetMode="External"/><Relationship Id="rId40" Type="http://schemas.openxmlformats.org/officeDocument/2006/relationships/hyperlink" Target="https://pravo.by/document/?guid=3871&amp;p0=Hk9800219" TargetMode="External"/><Relationship Id="rId41" Type="http://schemas.openxmlformats.org/officeDocument/2006/relationships/hyperlink" Target="https://zakony-by.com/hozyajstvennyj_protsessualnyj_kodeks_rb/84.htm" TargetMode="External"/><Relationship Id="rId42" Type="http://schemas.openxmlformats.org/officeDocument/2006/relationships/hyperlink" Target="https://ibmedia.by/news/elektronnoe-dokazatelstvo-v-grazhdanskom-protsesse-glavnoe-o-novovvedenii-2026-goda/" TargetMode="External"/><Relationship Id="rId43" Type="http://schemas.openxmlformats.org/officeDocument/2006/relationships/hyperlink" Target="https://mintrud.gov.by/uploads/files/Post-MTSZ-175.pdf" TargetMode="External"/><Relationship Id="rId44" Type="http://schemas.openxmlformats.org/officeDocument/2006/relationships/hyperlink" Target="https://www.prlegal.rs/filing-a-complaint-via-email-yes-it-is-possible/" TargetMode="External"/><Relationship Id="rId45" Type="http://schemas.openxmlformats.org/officeDocument/2006/relationships/hyperlink" Target="https://ni.vi.sud.rs/tekst/1958/prijem-elektronskih-podnesaka.php" TargetMode="External"/><Relationship Id="rId46" Type="http://schemas.openxmlformats.org/officeDocument/2006/relationships/hyperlink" Target="https://dier.rs/pravilnik-o-vodenju-i-rokovima-cuvanja-evidencija-u-oblasti-bezbednosti-i-zdravlja-na-radu-sta-donose-nove-izmene" TargetMode="External"/><Relationship Id="rId47" Type="http://schemas.openxmlformats.org/officeDocument/2006/relationships/hyperlink" Target="https://www.boe.es/buscar/act.php?id=BOE-A-2000-323#a326" TargetMode="External"/><Relationship Id="rId48" Type="http://schemas.openxmlformats.org/officeDocument/2006/relationships/hyperlink" Target="https://www.iberley.es/legislacion/articulo-326-ley-enjuiciamiento-civil" TargetMode="External"/><Relationship Id="rId49" Type="http://schemas.openxmlformats.org/officeDocument/2006/relationships/hyperlink" Target="https://www.legaltoday.com/practica-juridica/derecho-penal/valor-probatorio-de-los-pantallazos-de-conversaciones-de-whatsapp-o-sus-transcripciones-sts-116-2025-de-13-de-febrero-2025-09-29/" TargetMode="External"/><Relationship Id="rId50" Type="http://schemas.openxmlformats.org/officeDocument/2006/relationships/hyperlink" Target="https://www.boe.es/buscar/act.php?id=BOE-A-2015-11430" TargetMode="External"/><Relationship Id="rId51" Type="http://schemas.openxmlformats.org/officeDocument/2006/relationships/hyperlink" Target="https://lex.ahk.es/actualidad-juridica/puede-la-empresa-emplear-la-firma-electronica-en-el-ambito-laboral" TargetMode="External"/><Relationship Id="rId52" Type="http://schemas.openxmlformats.org/officeDocument/2006/relationships/hyperlink" Target="https://www.irishstatutebook.ie/eli/2000/act/27/section/13/enacted/en/html" TargetMode="External"/><Relationship Id="rId53" Type="http://schemas.openxmlformats.org/officeDocument/2006/relationships/hyperlink" Target="https://www.bailii.org/ie/cases/IEHC/2010/H47.html" TargetMode="External"/><Relationship Id="rId54" Type="http://schemas.openxmlformats.org/officeDocument/2006/relationships/hyperlink" Target="https://www.bailii.org/ie/cases/IEHC/2024/2024IEHC167.html" TargetMode="External"/><Relationship Id="rId55" Type="http://schemas.openxmlformats.org/officeDocument/2006/relationships/hyperlink" Target="https://www.legifrance.gouv.fr/codes/article_lc/LEGIARTI000032042224" TargetMode="External"/><Relationship Id="rId56" Type="http://schemas.openxmlformats.org/officeDocument/2006/relationships/hyperlink" Target="https://www.legifrance.gouv.fr/loda/id/JORFTEXT000035638541/" TargetMode="External"/><Relationship Id="rId57" Type="http://schemas.openxmlformats.org/officeDocument/2006/relationships/hyperlink" Target="https://www.lemag-juridique.com/articles/responsabilite-preuve-manquement-lemployeur-regles-prevention-securite-lorigine-laccident-travail-salarie-6418.htm" TargetMode="External"/><Relationship Id="rId58" Type="http://schemas.openxmlformats.org/officeDocument/2006/relationships/hyperlink" Target="https://sheriahub.com/cases/ke/caselaw/bigot-flowers-kenya-ltd-v-cheboswony-employment-and-labour-relations-appeal-10of-2018-2022-keelrc-3772-klr-10may-2022-judg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