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Сроки хранения и персональные данные электронной записи ОТ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Почему «просто разрешить PDF‑журнал» недостаточно: 45 лет архива и 152‑ФЗ / GDPR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pPr>
        <w:pStyle w:val="Heading1"/>
      </w:pPr>
      <w:r>
        <w:t>1. Сроки хранения в РФ</w:t>
      </w:r>
    </w:p>
    <w:p>
      <w:r>
        <w:rPr>
          <w:rFonts w:ascii="Calibri" w:hAnsi="Calibri" w:eastAsia="Calibri"/>
          <w:b w:val="0"/>
          <w:i w:val="0"/>
          <w:sz w:val="24"/>
        </w:rPr>
        <w:t>Приказ Росархива от 20.12.2019 № 236, п. 423: журналы инструктажа (вводного и на рабочем месте) — 45 лет; журналы проверки знаний — 5 лет. Документы о производственных травмах и НС — 45 лет (п. 424/425; связанные с человеческими жертвами — постоянно). Электронный журнал, который «живёт» пока действует договор с вендором LMS, юридически слабее бумаги, если через 10 лет файл нельзя воспроизвести.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Приказ Росархива от 20.12.2019 № 236</w:t>
        </w:r>
      </w:hyperlink>
    </w:p>
    <w:p>
      <w:pPr>
        <w:pStyle w:val="Heading1"/>
      </w:pPr>
      <w:r>
        <w:t>2. Сравнение с семёркой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Юрисдикция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Срок / особенность хранения записей ОТ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РФ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Журнал инструктажа 45 лет (Росархив № 236). Протокол знания 5 лет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Сербия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Правилник 5/2025: сроки хранения форм ОТ длинные, часто 40 лет; Form 6 на бумаге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Германия / ЕС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Документация профилактики должна быть доступна контролю; единой «45 лет» на Unterweisung нет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Беларусь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Электронный журнал допустим, если запись защищена от правок — иначе хуже бумаги на длинной дистанции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Кения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Даже сохранённый файл могут не допустить в процесс без 106B</w:t>
            </w:r>
          </w:p>
        </w:tc>
      </w:tr>
    </w:tbl>
    <w:p/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Приказ Росархива от 20.12.2019 № 236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Закон о БЗР РС 35/2023 (Paragraf)</w:t>
        </w:r>
      </w:hyperlink>
    </w:p>
    <w:p>
      <w:pPr>
        <w:pStyle w:val="Heading1"/>
      </w:pPr>
      <w:r>
        <w:t>3. Персональные данные</w:t>
      </w:r>
    </w:p>
    <w:p>
      <w:r>
        <w:rPr>
          <w:rFonts w:ascii="Calibri" w:hAnsi="Calibri" w:eastAsia="Calibri"/>
          <w:b w:val="0"/>
          <w:i w:val="0"/>
          <w:sz w:val="24"/>
        </w:rPr>
        <w:t>Электронный журнал инструктажа — это массив персональных данных: ФИО, должность, подразделение, рабочее место, время, иногда биометрия/фото для идентификации. 152‑ФЗ: законная цель (исполнение обязанностей работодателя по ОТ), минимизация, безопасность, срок хранения не дольше, чем нужно — но архивное 45 лет как раз задаёт долгий срок. Трансграничная передача в облако иностранного LMS — отдельный риск ст. 12 152‑ФЗ.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ФЗ от 27.07.2006 № 152‑ФЗ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В ЕС те же записи попадают под GDPR: цель и минимизация (ст. 5), безопасность (ст. 32), сроки хранения. Это не запрет e‑журнала, а требование спроектировать систему: кто имеет доступ, как удалять лишнее, где сервер, как логировать изменения.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GDPR (EU) 2016/679</w:t>
        </w:r>
      </w:hyperlink>
    </w:p>
    <w:p>
      <w:pPr>
        <w:pStyle w:val="Heading1"/>
      </w:pPr>
      <w:r>
        <w:t>4. Что это меняет в правке 22.1 / 2464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В условиях электронной регистрации журнала сразу писать: хранение не короче архивного срока; экспорт в нейтральном формате; запрет «данные только у подрядчика».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Идентификация работника ≠ биометрия по умолчанию: достаточно учётной записи + второго фактора, если это соразмерно.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Акт НС содержит ещё более чувствительные данные о здоровье; его особый бумажный режим отчасти стыкуется с режимом специальных категорий ПДн — ещё один довод не смешивать с журналом.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ФЗ от 27.07.2006 № 152‑ФЗ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Приказ Росархива от 20.12.2019 № 236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Письмо Минтруда от 12.01.2023 № 14‑6/ООГ‑97</w:t>
        </w:r>
      </w:hyperlink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Приказ Росархива от 20.12.2019 № 236: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https://base.garant.ru/73524230/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27.07.2006 № 152‑ФЗ: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https://www.consultant.ru/document/cons_doc_LAW_61873/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GDPR (EU) 2016/679: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https://eur-lex.europa.eu/legal-content/EN/TXT/?uri=CELEX:32016R0679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ПП РФ № 2464: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https://www.consultant.ru/document/cons_doc_LAW_405146/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Письмо Минтруда от 12.01.2023 № 14‑6/ООГ‑97: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https://base.garant.ru/406201483/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ase.garant.ru/73524230/" TargetMode="External"/><Relationship Id="rId10" Type="http://schemas.openxmlformats.org/officeDocument/2006/relationships/hyperlink" Target="https://www.paragraf.rs/propisi/zakon-o-bezbednosti-i-zdravlju-na-radu.html" TargetMode="External"/><Relationship Id="rId11" Type="http://schemas.openxmlformats.org/officeDocument/2006/relationships/hyperlink" Target="https://www.consultant.ru/document/cons_doc_LAW_61873/" TargetMode="External"/><Relationship Id="rId12" Type="http://schemas.openxmlformats.org/officeDocument/2006/relationships/hyperlink" Target="https://eur-lex.europa.eu/legal-content/EN/TXT/?uri=CELEX:32016R0679" TargetMode="External"/><Relationship Id="rId13" Type="http://schemas.openxmlformats.org/officeDocument/2006/relationships/hyperlink" Target="https://base.garant.ru/406201483/" TargetMode="External"/><Relationship Id="rId14" Type="http://schemas.openxmlformats.org/officeDocument/2006/relationships/hyperlink" Target="https://www.consultant.ru/document/cons_doc_LAW_40514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