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F4E79"/>
          <w:sz w:val="32"/>
        </w:rPr>
        <w:t>НАУЧНО-ИССЛЕДОВАТЕЛЬСКАЯ РАБОТА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Тема: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Анализ законодательства иностранных государств в части электронного документооборота (в целом) и в части электронного документооборота в охране труда. Сравнение с российской практикой.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Вид документа: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полный черновик разделов (введение, главы 1–3, заключение, источники).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Актуализация источников: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август 2026 г.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Как проверять.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 ключевых норм в тексте — гиперссылка на официальный источник. В архиве у каждой страновой справки и карточки дела после блока фактов стоит строка «Проверить» с кликабельным URL. Номера судебных дел не вымышлены.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Ядро юрисдикций (13 + РФ).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Первый комплект — модели: Европейский союз, Великобритания, США, Сингапур, Китай, Казахстан / ЕАЭС. Второй комплект — национальные слои и судебная практика: Германия, Беларусь, Сербия, Испания, Ирландия, Франция, Кения. Линия сравнения — Российская Федерация.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F4E79"/>
          <w:sz w:val="32"/>
        </w:rPr>
        <w:t>ВВЕДЕНИЕ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1. Актуальность темы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Цифровизация трудовых и охранительных процессов ставит перед правом один и тот же вопрос в разных формулировках: при каких условиях электронная запись заменяет бумажный документ так, чтобы инспектор, суд и стороны трудового договора могли на неё опираться. В коммерческом обороте ответ давно дан через законы об электронной подписи и электронных записях. В охране труда ответ сложнее: документ здесь одновременно служит доказательством исполнения обязанности работодателя, инструментом допуска к работе и материалом государственного контроля.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Российской Федерации кадровый электронный документооборот закреплён в </w:t>
      </w:r>
      <w:hyperlink r:id="rId9">
        <w:r>
          <w:rPr>
            <w:color w:val="0563C1"/>
            <w:u w:val="single"/>
            <w:sz w:val="28"/>
            <w:rFonts w:ascii="Times New Roman" w:hAnsi="Times New Roman"/>
          </w:rPr>
          <w:t xml:space="preserve">ст. 22.1–22.3 Трудового кодекса РФ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, а обучение по охране труда детализировано Правилами, утверждёнными </w:t>
      </w:r>
      <w:hyperlink r:id="rId10">
        <w:r>
          <w:rPr>
            <w:color w:val="0563C1"/>
            <w:u w:val="single"/>
            <w:sz w:val="28"/>
            <w:rFonts w:ascii="Times New Roman" w:hAnsi="Times New Roman"/>
          </w:rPr>
          <w:t xml:space="preserve">постановлением Правительства РФ от 24.12.2021 № 2464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. Одновременно </w:t>
      </w:r>
      <w:hyperlink r:id="rId9">
        <w:r>
          <w:rPr>
            <w:color w:val="0563C1"/>
            <w:u w:val="single"/>
            <w:sz w:val="28"/>
            <w:rFonts w:ascii="Times New Roman" w:hAnsi="Times New Roman"/>
          </w:rPr>
          <w:t xml:space="preserve">ч. 3 ст. 22.1 ТК РФ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исключает из кадрового ЭДО документы, подтверждающие прохождение инструктажей по охране труда, и акты о несчастном случае на производстве. Получается внутреннее напряжение: общая цифровизация трудовых документов продвигается, а ключевые доказательства по охране труда остаются в бумажной логике.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За рубежом специального «закона об ЭДО в охране труда» почти нигде нет. Электронные журналы инструктажей, записи обучения, оценки рисков и отчётность по травматизму обычно выводятся из общей рамки электронной подписи/записи плюс отраслевых требований OSH/WSH. Поэтому корректный сравнительно-правовой анализ требует двух уровней: сначала — регулирование ЭДО в целом, затем — его применение к процессам охраны труда, и только после этого — сравнение с российской практикой.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2. Степень научной разработанности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Общие вопросы юридической силы электронных документов и подписей подробно исследованы в доктрине информационного и гражданского права, а также в материалах UNCITRAL и комментариях к eIDAS. Значительно меньше работ, где эта рамка последовательно приложена именно к охранительным документам: журналам инструктажей, протоколам обучения, нарядам-допускам, актам несчастных случаев.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Российская практика кадрового ЭДО и применения № 2464 активно обсуждается в прикладных обзорах, разъяснениях и консультациях, но сравнительные исследования обычно либо ограничиваются общим ЭДО (63‑ФЗ), либо описывают зарубежную охрану труда без привязки к режиму электронной подписи. Настоящая работа соединяет оба пласта.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3. Цель, задачи, объект и предмет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Цель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на основе анализа законодательства и практики иностранных государств выявить модели регулирования ЭДО в целом и особенности применения ЭДО в охране труда, а также сформулировать сравнительно-правовые выводы и предложения для российской системы.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Задачи: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1) раскрыть общетеоретические основы регулирования ЭДО в иностранных государствах и международные модели;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2) систематизировать зарубежный опыт применения ЭДО в ключевых процессах охраны труда;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3) сопоставить зарубежные подходы с российским регулированием (63‑ФЗ, ст. 22.1–22.3 ТК РФ, ПП № 2464);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4) определить, какие элементы зарубежного опыта целесообразно заимствовать, а какие переносить нельзя.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Объект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правовое регулирование электронного документооборота и практика его применения.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Предмет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юридическая сила электронных документов/записей и подписей; инфраструктура доверия; хранение и доказывание; трансграничное признание; применение этой рамки к документам и процессам охраны труда.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4. Методология и методы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Основной метод — сравнительно-правовой. Используются также формально-юридический анализ текстов, системный подход (общее ЭДО → отраслевое применение → сравнение с РФ) и элементы правового моделирования (предложения de lege lata / de lege ferenda).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Иерархия источников: (1) законы и регламенты; (2) подзаконные акты; (3) официальные разъяснения регуляторов; (4) судебная практика — точечно; (5) стандарты ISO/ILO как практика менеджмента, не как норма права; (6) доктрина и обзоры — только как навигатор к актам уровней 1–3.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5. Границы исследования и выборка юрисдикций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ядро включены тринадцать юрисдикций, представляющих разные модели, а не «ещё страны ради стран».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Первый комплект (модели ЭДО):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ЕС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иерархия подписей и пространство доверия (eIDAS / eIDAS 2.0);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Великобритания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доказательственная модель + goal-setting в ОТ;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США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технологическая нейтральность + electronic training records / OSHA;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Сингапур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торговый ЭДО и государственный реестр WSH-обучения;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Китай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«надёжная» ЭП и применение к safety docs;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Казахстан / ЕАЭС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ближайший интеграционный контур и прямая легализация электронного журнала инструктажа.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Второй комплект (национальный слой + судебная практика):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Германия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eIDAS + формы BGB; с 2025 Textform в кадрах; Unterweisung без обязательной подписи;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Беларусь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Закон 113‑З и п. 35 Инструкции № 175: прямой электронный журнал инструктажа;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Сербия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eIDAS‑подобный закон; формы ОТ электронно с QES, учёт обучения (Form 6) на бумаге;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Испания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презумпция квалифицированного сервиса (LEC 326.4);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Ирландия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ECA 2000 + common law; суд проверяет реальность обучения (Redmond 2024);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Франция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презумпция только у QES (Cass. 5.03.2026); скан ≠ электронная подпись;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Кения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advanced e‑signature = wet ink, но вход в процесс через сертификат Evidence Act s. 106B.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За рамками детального разбора оставлены узкоотраслевые режимы (таможенный ЭДО, счета-фактуры, электронные коносаменты) — они используются в главе 1 лишь как иллюстрация моделей. Медицинские допуски рассматриваются ограниченно из‑за режима персональных данных; отдельный срез 152‑ФЗ / GDPR по электронному журналу вынесен в § 3.7.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6. Научная новизна, теоретическая и практическая значимость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Новизна состоит в связке двух обычно разрозненных вопросов — общего ЭДО и ЭДО в охране труда — в единой сравнительно-правовой конструкции «модель → процесс ОТ → сравнение с РФ». Практическая значимость — в конкретных предложениях по уточнению ч. 3 ст. 22.1 ТК РФ и/или № 2464, стандарту реквизитов электронной записи ОТ и развитию проверки обучения до допуска.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7. Структура работы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Работа состоит из введения, трёх глав, заключения, списка источников и приложений. Глава 1 даёт общетеоретический раздел о регулировании ЭДО в иностранных государствах. Глава 2 — зарубежный опыт применения ЭДО в охране труда </w:t>
      </w:r>
      <w:r>
        <w:rPr>
          <w:rFonts w:ascii="Times New Roman" w:hAnsi="Times New Roman" w:eastAsia="Times New Roman"/>
          <w:b/>
          <w:i w:val="0"/>
          <w:sz w:val="28"/>
        </w:rPr>
        <w:t>по процессам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(инструктаж, обучение, оценка рисков, наряд‑допуск, акт НС, СИЗ), а не по странам подряд. Глава 3 — сравнение с российской практикой, российские разъяснения Минтруда/Роструда и предложения de lege ferenda. Приложения: матрицы A/B/C, страновые карточки, матрица документов ОТ, глоссарий, проект правок ст. 22.1 / ПП 2464, практика РФ, сроки хранения и персональные данные.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F4E79"/>
          <w:sz w:val="32"/>
        </w:rPr>
        <w:t>ГЛАВА 1. ОБЩЕТЕОРЕТИЧЕСКИЕ ОСНОВЫ РЕГУЛИРОВАНИЯ ЭДО В ИНОСТРАННЫХ ГОСУДАРСТВАХ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1.1. Понятие электронного документооборота, электронного документа и электронной записи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1.1.1. Электронный документ, electronic record и electronic message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российском управленческом языке «ЭДО» часто означает систему обмена формализованными документами через оператора. В зарубежном праве исходная единица обычно другая: *electronic record* (электронная запись), *electronic signature* (электронная подпись), *electronic message* (электронное сообщение), *trust service* (услуга доверия). Закон регулирует не отрасль «операторов ЭДО», а условия, при которых электронная форма не лишает документ юридической силы.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Это terminological расхождение важно методологически. Если искать за рубежом «закон об ЭДО», результат будет бедным. Если искать режим электронной записи и подписи — обнаруживается плотная сеть актов UNCITRAL, eIDAS, ESIGN, ETA и национальных законов об ЭЦП.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1.1.2. Почему зарубежное право регулирует «подпись и запись», а не «оператора ЭДО»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Оператор обмена — технологический и рыночный институт. Право интересует другое: идентификация подписанта, выражение воли, целостность содержания, возможность впоследствии воспроизвести запись, допустимость в суде. Поэтому eIDAS говорит о простых, усиленных и квалифицированных подписях и о квалифицированных поставщиках услуг доверия; ESIGN — о согласии и сохраняемости; MLEC — о функциональной эквивалентности письму, оригиналу и подписи.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1.1.3. Функциональная эквивалентность письменной форме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Ключевой принцип современной рамки: требование «письменности» считается выполненным, если электронная запись доступна для последующего использования и позволяет установить содержание. Требование «подписи» выполняется, если метод идентифицирует лицо и указывает на его намерение подписать запись. Именно этот подход позволяет переносить электронную форму в охрану труда без отдельного «закона о журнале»: если запись выполняет функции бумаги, форма может быть электронной — пока специальный акт прямо не требует иного.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1.2. Международная унификация правил электронной торговли и подписи (UNCITRAL)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1.2.1. Типовой закон об электронной торговле (MLEC, 1996)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MLEC закрепил три опоры: недискриминацию электронной формы; технологическую нейтральность; функциональную эквивалентность. Государство не должно отвергать сообщение или договор только потому, что они электронные. Закон не предписывает конкретную криптографию. Письмо, оригинал и подпись описываются через функции, а не через бумагу.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1.2.2. Типовой закон об электронных подписях (MLES, 2001)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MLES уточняет критерии надёжности подписи и роли подписанта, полагающейся стороны и доверенных третьих лиц. Для трансграничности важен принцип существенной эквивалентности: иностранная подпись может признаваться, если обеспечивает сопоставимый уровень надёжности.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1.2.3. Конвенция Нью‑Йорк 2005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Конвенция об использовании электронных сообщений в международных договорах унифицирует правила для трансграничных электронных договоров и снимает формальные барьеры «бумажного» договора в международной торговле. Сингапур прямо ориентировал на неё свой Electronic Transactions Act.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1.2.4. MLETR (2017) и статус к 2026 году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Типовой закон об электронных передаваемых записях закрывает пробел товарораспорядительных документов: электронных коносаментов, складских свидетельств и аналогов. К 2026 г. законодательство на базе или под влиянием MLETR принято в ряде юрисдикций, включая Сингапур (2021), Великобританию (ETDA 2023), Францию (2024) и Китай (2025, с развитием положений об электронных документах с 01.09.2026).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Для охраны труда MLETR важен не как прямой источник, а как показатель зрелости правовой системы: государства, способные легализовать электронный коносамент, обычно уже имеют и общую доктрину электронной записи, на которую опираются и safety records.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1.3. Две базовые модели национального регулирования ЭДО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1.3.1. Модель иерархии подписей и квалифицированных услуг доверия (ЕС)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Регламент (EU) № 910/2014 (eIDAS) выстроил пространство доверия: простая (SES), усиленная (AES) и квалифицированная (QES) электронные подписи. QES имеет силу собственноручной подписи и взаимно признаётся во всех государствах‑членах. Рядом — электронные печати, метки времени, заказные электронные доставки, услуги валидации и хранения.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Регламент (EU) 2024/1183 (eIDAS 2.0) с 20.05.2024 усилил слой цифровой идентичности: государства‑члены должны предоставить EUDI Wallet к концу 2026 г.; отдельные частные relying parties обязаны принимать кошелёк по запросу пользователя не позднее 24.12.2027. Перечень квалифицированных услуг расширен (архивирование, электронные реестры, аттестация атрибутов). Уровни SES/AES/QES сохранены.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Вывод для сравнения с РФ: российская триада ПЭП / УНЭП / УКЭП функционально близка европейской иерархии. Главное отличие — автоматическое взаимное признание внутри ЕС против точечного признания иностранных подписей в РФ.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1.3.2. Модель технологической нейтральности и согласия сторон (США)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ESIGN Act и UETA исходят из другого тезиса: договор или запись не лишаются силы только потому, что использованы электронная подпись или электронная запись. Закон не требует квалифицированного сертификата. Достаточно электронной звуковой, символьной или процессной привязки, логически связанной с записью и сделанной с намерением подписать.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Сильный акцент — на согласии (особенно consumer consent) и на возможности впоследствии точно воспроизвести запись. Исключения foreseen для части семейных, завещательных и иных статутных актов. Инфраструктура доверия — рыночная, а не единая государственная система квалифицированных УЦ.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Вывод: США — наиболее далёкая от РФ философия. Перенос «американской нейтральности» в российский B2G разрушил бы опору на аккредитованные УЦ и защиту слабой стороны.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1.3.3. Гибридные и переходные режимы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Сингапур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сочетает нейтральность ETA с презумпциями *secure electronic signature* и режимом MLETR: это эталон «торгового» ЭДО.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Китай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использует договорную основу плюс критерии «надёжной» подписи, лицензирование провайдеров сертификации, явный список исключений и с 2025–2026 гг. — отдельный слой электронных транспортных документов.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Великобритания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после Brexit сохранила логику SES/AES/QES в UK-праве, но утратила автоматическое взаимное признание с ЕС. Параллельно приняты ETDA 2023 и статутный DVS Trust Framework 1.0 (не ранее 01.09.2026) — более «рыночная» рамка цифровой верификации, нежели обязательный государственный кошелёк.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1.3.4. PKI-центричная модель и контур ЕАЭС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Закон Республики Казахстан от 07.01.2003 № 370 закрепляет электронный документ и ЭЦП в логике удостоверяющих центров. Трансграничный мост — доверенная третья сторона (ДТС). Решение Коллегии ЕЭК от 22.08.2023 № 120 устанавливает правила признания ЭП/ЭЦП при взаимодействии хозяйствующих субъектов с органами государств‑членов и ЕЭК с использованием ДТС (в силе с 23.09.2023).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Важно ограничение: Решение № 120 закрывает прежде всего B2G, а не весь частный B2B между компаниями разных стран Союза. Для РФ это ближайший интеграционный контур, а не универсальное взаимное признание «как в ЕС».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1.4. Инфраструктура доверия и цифровая идентичность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1.4.1. Удостоверяющие центры, QTSP и рыночные провайдеры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модели ЕС доверие институционализировано через квалификацию и надзор QTSP, публичные trusted lists. В модели США доверие строится договором, репутацией провайдера и отраслевыми требованиями. В ЕАЭС/РК — через УЦ и ДТС. РФ ближе к первой и третьей схемам: аккредитованные УЦ, отраслевые операторы ЭДО, УЦ ФНС.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1.4.2. Печать, метка времени, зарегистрированная доставка, архивирование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eIDAS делает видимыми инструменты, которые в российской практике часто «растворены» в договоре с оператором: квалифицированная метка времени, registered electronic delivery, квалифицированное электронное архивирование. Для споров о получении уведомления и о неизменности журнала ОТ эти институты важнее названия вида подписи.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1.4.3. EUDI Wallet и британский DVS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Европейский кошелёк идентичности — обязательный инфраструктурный проект государств‑членов. Британский DVS Trust Framework — добровольная сертификация сервисов цифровой верификации. Для РФ полезен не сам «кошелёк», а идея отдельного контура подтверждения личности/атрибутов рядом с УЦ подписи, без немедленного обязательного внедрения.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1.5. Доказывание юридической силы электронной записи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1.5.1. Согласие и воспроизводимость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Даже в либеральной модели США согласие на электронную форму и способность впоследствии воспроизвести запись — центральные условия. В кадровом и охранительном контексте это означает: работник должен иметь доступ к своей записи; работодатель — хранить её в неизменном и предъявляемом виде.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1.5.2. Целостность, audit trail и презумпции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Квалифицированная подпись (ЕС) и secure signature (Сингапур) создают разные по технике, но сходные по смыслу презумпции аутентичности и целостности. Для охраны труда практический минимум доказательств: кто совершил действие, когда, по какой программе/инструкции, каков результат проверки, неизменен ли лог.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1.5.3. Исключения электронной формы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Китай прямо перечисляет семейные, наследственные и некоторые иные акты. США делают то же через ESIGN/UETA. ЕС не запрещает электронную форму журналов ОТ на уровне Союза. РФ использует иной приём: общее разрешение КЭДО плюс точечные исключения в ч. 3 ст. 22.1 ТК РФ, включая инструктажи по ОТ и акты НС.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1.6. Трансграничное признание электронных подписей и документов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1.6.1. Автоматическое взаимное признание внутри ЕС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QES одного государства‑члена признаётся во всех остальных. Это самый сильный из существующих режимов трансграничности.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1.6.2. Эквивалентность, взаимность и договор сторон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Вне интеграционных союзов признание строится через соглашение сторон, оценку эквивалентности или административное одобрение (китайская модель взаимности).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1.6.3. ДТС в ЕАЭС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ДТС «переводит» доверие между национальными PKI. Для работодателя это означает: иностранная ЭЦП сама по себе может быть недостаточна; нужна инфраструктурная проверка. ФЗ от 04.08.2026 № 315‑ФЗ закрывает другой сюжет — УКЭП международных организаций внутри РФ через УЦ ФНС — и не заменяет ДТС для казахстанской или белорусской ЭЦП.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1.7. Промежуточные выводы главы 1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Мировой стандарт — недискриминация электронной формы.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Две крупные модели — иерархия подписей/услуги доверия (ЕС; близко РФ и ЕАЭС) и технологическая нейтральность (США; частично Сингапур).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«ЭДО как отрасль операторов» в иностранных законах обычно не назван; регулируются запись, подпись, идентичность, архив и трансграничность.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Правило перехода к охране труда: если специальный акт не требует бумажной собственноручной подписи и обеспечены идентификация, целостность и воспроизводимость, электронная фиксация процессов ОТ правомерно выводится из общей рамки ЭДО.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Именно поэтому глава 2 должна строиться по процессам ОТ, а не по пересказу eIDAS.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F4E79"/>
          <w:sz w:val="32"/>
        </w:rPr>
        <w:t>ГЛАВА 2. ЗАРУБЕЖНЫЙ ОПЫТ ПРИМЕНЕНИЯ ЭДО В ОХРАНЕ ТРУДА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2.1. Предмет и границы «ЭДО в охране труда»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2.1.1. Почему специального «закона об ЭДО в ОТ» почти нигде нет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Охрана труда требует доказать факт информирования, обучения, оценки риска, допуска, расследования. Право отвечает на это через обязанности по существу (обучить, оценить риск, расследовать) и через требования к записи. Формат записи — бумага или электронный файл — вторичен, пока сохраняются идентификация и возможность контроля. Поэтому зарубежные системы редко пишут: «журнал инструктажа может быть электронным». Чаще они молчаливо допускают электронную запись, а регулятор разъясняет приемлемость.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2.1.2. Перечень процессов, где электронная запись юридически значима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инструктажи и обучение (журналы, протоколы, сертификаты, проверка знания);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оценка профессиональных рисков (risk assessment);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наряд-допуск / permit-to-work;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ознакомление с локальными нормативными актами по ОТ;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учёт травматизма и отчётность регулятору;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с инспекцией (предъявление записей по запросу).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2.1.3. Соотношение общего ЭДО, трудового права и правил OSH/WSH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Схема всегда трёхслойная: (1) общий закон об ЭП/электронных записях даёт силу форме; (2) закон об ОТ/занятости задаёт обязанность по содержанию; (3) гайды инспекции объясняют, какая запись считается достаточной. Ошибка анализа — искать только слой (3) или только слой (1).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2.2. Инструктажи и обучение по охране труда в электронной форме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2.2.1. Европейский союз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Рамочная Директива 89/391/EEC обязывает работодателя оценивать риски, информировать и обучать работников, вести документацию по мерам профилактики. Общесоюзной «бумажной формы журнала инструктажа» нет. Юридическая сила электронных подписей определяется eIDAS. На практике государства‑члены допускают цифровые OSH-системы (электронные risk assessment, LMS, электронные журналы ознакомления), если обеспечены идентификация, целостность и доступность для контроля. EU‑OSHA продвигает цифровые инструменты оценки рисков (OiRA): акцент на содержании и участии работников, а не на рукописной росписи.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2.2.2. США: позиция OSHA по electronic training records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OSHA в разъяснениях 1997 и 2000 гг. прямо допустила электронный учёт обязательного safety training и использование electronic signature pad. Во многих стандартах ключевым доказательством является certification record работодателя/тренера, а не обязательная роспись каждого работника в «журнале» российского типа. Запись должна сохранять целостность и быть доступна на инспекции без задержки.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Это не означает отказ от обучения по существу. Это означает иной центр тяжести доказывания: сертификация факта обучения и сохранность данных важнее «мокрой» подписи в графе журнала.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2.2.3. Сингапур: Training Records System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системе Workplace Safety and Health ключевой цифровой контур — Training Records System (TRS). Провайдеры загружают записи MOM‑recognised WSH training; работодатели через Corppass проверяют подлинность обучения работников онлайн, включая migrant workers. Это государственный/регуляторный реестр, а не только внутренний журнал работодателя. Для high‑risk секторов (строительство, shipyard, metalworking) проверка обучения становится условием допуска.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2.2.4. Казахстан: прямая спецнорма об электронном журнале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Правила обучения, инструктирования и проверки знаний по безопасности и охране труда (приказ МЗСР РК № 1019 с изменениями) прямо допускают электронную форму. Журнал регистрации инструктажа на рабочем месте может вестись на бумаге или в электронном виде с учётом законодательства об электронном документе и ЭЦП; при электронном ведении сведения удостоверяются ЭЦП. Протокол проверки знаний также может быть электронным документом с ЭЦП членов комиссии.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Это ближайший к РФ постсоветский пример, где электронный журнал инструктажа легализован явно, а не выведен толкованием общего закона.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2.2.5. Китай и Великобритания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КНР Work Safety Law требует обучения и документации по безопасности; сила электронных записей опирается на Закон об электронной подписи («надёжная» ЭП ≈ собственноручная/печать). Крупные предприятия используют electronic safety training и electronic work permits.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Великобритании HSE придерживается goal‑setting: важны suitable and sufficient risk assessment, информирование и компетентность, а не единый федеральный бумажный журнал. Электронные РА, LMS и e‑sign ознакомления — обычная практика; сила ЭП — через UK eIDAS / ECA 2000.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2.2.6. Беларусь: прямая норма об электронном журнале инструктажа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Пункт 35 </w:t>
      </w:r>
      <w:hyperlink r:id="rId11">
        <w:r>
          <w:rPr>
            <w:color w:val="0563C1"/>
            <w:u w:val="single"/>
            <w:sz w:val="28"/>
            <w:rFonts w:ascii="Times New Roman" w:hAnsi="Times New Roman"/>
          </w:rPr>
          <w:t xml:space="preserve">Инструкции Минтруда РБ № 175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(ред. постановления № 45 от 14.07.2022) прямо допускает электронную регистрацию всех видов инструктажа и стажировки, если программные средства идентифицируют работника, фиксируют время записи и защищены от несанкционированных изменений. Это функциональная эквивалентность журнала, а не требование ЭЦП у каждого рабочего. Для главы 3 это ближайший переносимый образец: та же постсоветская конструкция журналов, иное правило о носителе.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2.2.7. Сербия: электроника форм ОТ минус учёт обучения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Правилник (Сл. гласник РС 5/2025, с 28.04.2025) разрешил вести большинство форм учёта ОТ электронно с квалифицированной ЭП, но оставил на бумаге Форму 6 — учёт обученных безопасной работе и правильному применению СИЗ. Это точечный запрет, ближе по духу к ч. 3 ст. 22.1 ТК, но уже по охвату: в РФ исключены и журналы, и акты НС в контуре КЭДО.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2.2.8. Германия, Испания, Ирландия, Франция: нет запрета носителя</w:t>
      </w:r>
    </w:p>
    <w:p>
      <w:pPr>
        <w:spacing w:line="360" w:lineRule="auto"/>
        <w:ind w:firstLine="709"/>
      </w:pPr>
      <w:hyperlink r:id="rId12">
        <w:r>
          <w:rPr>
            <w:color w:val="0563C1"/>
            <w:u w:val="single"/>
            <w:sz w:val="28"/>
            <w:rFonts w:ascii="Times New Roman" w:hAnsi="Times New Roman"/>
          </w:rPr>
          <w:t xml:space="preserve">§ 12 ArbSchG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не делает подпись конститутивным элементом Unterweisung; BAG (1 ABR 104/09) связал инструктаж с оценкой рисков. LPRL art. 19 и ирландский SHWW Act 2005 требуют доказать адекватность обучения. Французская Cass. soc. 22‑15.624 возлагает на работодателя бремя мер L. 4121 после НС; Cass. soc. 21‑19.841 отдельно говорит, что скан подписи — не электронная подпись. Вопрос «можно ли журнал электронно» эти суды почти не ставят.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2.2.9. Кения: закон ОТ молчит, процесс требует 106B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OSHA 2007 обязывает обучать (s. 99) и вести general register травм, но не описывает электронный журнал. ELRC в Bigot Flowers v Cheboswony [2022] KEELRC 3772 смотрит факт обучения и СИЗ. Параллельно KEELC 392 (2025) снимает электронную запись без сертификата Evidence Act s. 106B. Вывод: молчание отраслевого закона ≠ безопасная цифровизация, если процессуальный вход узкий.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2.3. Оценка профессиональных рисков и электронные наряды-допуски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2.3.1. Risk assessment как ядро документации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ЕС и UK оценка рисков — центральный документ системы ОТ. Management of Health and Safety at Work Regulations 1999 (reg. 3) требует suitable and sufficient assessment; при 5 и более работниках — запись существенных результатов. Формат записи закон жёстко не фетишизирует.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2.3.2. Electronic permit-to-work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Индустриальная практика UK и ряда транснациональных компаний использует электронные наряды-допуски с маршрутизацией согласований, ЭП ответственных лиц и блокировкой допуска при отсутствии действующего обучения/медосмотра. Юридически это опирается на общую обязанность обеспечивать безопасную систему работы, а не на специальный «закон об e‑PTW».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2.3.3. Цифровые шаблоны ОПР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Инструменты типа OiRA показывают, что государство может поддерживать качество оценки рисков через цифровые шаблоны, не сводя контроль к проверке наличия рукописной подписи.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2.4. Ознакомление работника с локальными актами и требованиями по ОТ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2.4.1. Electronic acknowledgement vs собственноручная подпись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Электронное подтверждение ознакомления допустимо там, где закон не требует бумажной формы и где идентификация работника надёжна. В системах с eIDAS/ESIGN/ETA это обычно общий режим.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2.4.2. Риск «клика вместо ознакомления»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Главный практический риск цифровизации — фиктивное ознакомление. Зарубежные зрелые системы отвечают не запретом электроники, а требованиями к идентификации, времени действия, содержанию инструкции и, при необходимости, проверке усвоения. Электронная форма должна усиливать доказываемость, а не упрощать формальность до клика.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2.5. Учёт травматизма, расследование НС и отчётность регулятору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2.5.1. США: 29 CFR Part 1904 и Injury Tracking Application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OSHA требует вести учёт травм и заболеваний; многие работодатели ежегодно подают данные Forms 300/300A/301 через Injury Tracking Application. Электронная подпись допустима для сертификации Form 300‑A, но Annual Summary всё равно должен быть распечатан и вывешен на рабочем месте в установленные сроки. Это пример гибрида: digital reporting + физический posting.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2.5.2. Великобритания: RIDDOR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Обязательные сообщения о некоторых травмах и опасных происшествиях подаются в электронном контуре HSE. Снова акцент на своевременности и полноте сведения, а не на бумажном бланке как самоцели.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2.5.3. Электронный учёт ≠ отмена расследования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Критическое различение для любой правовой системы: машиночитаемая отчётность и журнал учёта не заменяют полноценного расследования несчастного случая. Цифровизация может обслуживать аналитику и профилактику, но процессуальный статус акта расследования требует отдельных гарантий.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2.6. Доказывание перед инспекцией и судом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2.6.1. Sufficient / reliable electronic record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Сводный зарубежный стандарт достаточной электронной записи ОТ включает: идентификатор работника и инструктирующего/ответственного; дату и время; вид мероприятия и программу/инструкцию; результат проверки знания (если применимо); неизменяемость или защищённый audit trail; возможность предъявить запись инспектору без задержки.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2.6.2. Audit trail, сроки хранения, доступность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OSHA и HSE ожидают, что электронный архив не хуже бумаги по доступности. Потеря логов, отсутствие резервного копирования, невозможность показать историю изменений — типичные основания обесценить электронную запись.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2.6.3. Типичные дефекты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подпись «за другого» / общий логин;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отсутствие связи записи с конкретной программой инструктажа;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клик без идентификации;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ведение «электронно у себя» и печать бумаги с дорисованными подписями для инспектора;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утрата данных при смене подрядчика LMS.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2.6.4. Российское зеркало: журнал как доказательство содержания, запрет носителя — статутный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Пленум ВС РФ от 23.06.2015 № 25 (п. 65) допускает юридически значимые сообщения по электронной почте, если можно установить отправителя и адресата — это срез ЭДО в целом. Срез ОТ другой. </w:t>
      </w:r>
      <w:hyperlink r:id="rId13">
        <w:r>
          <w:rPr>
            <w:color w:val="0563C1"/>
            <w:u w:val="single"/>
            <w:sz w:val="28"/>
            <w:rFonts w:ascii="Times New Roman" w:hAnsi="Times New Roman"/>
          </w:rPr>
          <w:t xml:space="preserve">Письмо Минтруда от 12.01.2023 № 14‑6/ООГ‑97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прямо говорит: акт НС и документы об инструктажах подписываются только на бумаге, чтобы их нельзя было менять задним числом. Постановление ВС РФ от 06.09.2024 № 49‑АД24‑22‑К6 проверяет не «электронность» журнала, а факт повторного инструктажа и указание ЛНА в журнале (п. 87 Правил № 2464). Российский суд в ОТ, как BAG и Redmond, бьёт по содержанию; вопрос носителя закрыл законодатель, а не судебная доктрина «e‑форма ничтожна».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2.7. Промежуточные выводы главы 2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Специального общемирового «закона об ЭДО в ОТ» нет; действует связка общего ЭДО и отраслевых обязанностей.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Электронная фиксация инструктажей/обучения прямо признана или фактически допущена в США, Казахстане, Беларуси, ЕС/UK; Сингапур добавил государственный сервис проверки. Сербия оставила на бумаге только учёт обучения (Form 6). Кения отраслевой нормой молчит, но суд может снять e‑запись без 106B.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Оценка рисков и permit-to-work цифровизируются через требование достаточности мер, а не через культ бумажного журнала.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Отчётность по травмам может быть digital-first, но расследование НС сохраняет отдельный процессуальный вес.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Для сравнения с РФ решающий контраст — не «есть ли компьютеры», а есть ли правовой запрет на электронное подтверждение инструктажа. В самой РФ при этом электронный протокол проверки знания уже легален (ПП 2464 п. 91–93).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6. Матрица документов ОТ (журнал / протокол / ОПР / наряд‑допуск / акт НС / СИЗ) показывает, что запрет ч. 3 ст. 22.1 точечный, а не «вся ОТ на бумаге».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F4E79"/>
          <w:sz w:val="32"/>
        </w:rPr>
        <w:t>ГЛАВА 3. СРАВНЕНИЕ ЗАРУБЕЖНОГО РЕГУЛИРОВАНИЯ И ОПЫТА С РОССИЙСКОЙ ПРАКТИКОЙ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3.1. Российская правовая рамка ЭДО как линия сравнения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3.1.1. ФЗ № 63‑ФЗ: ПЭП, УНЭП, УКЭП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Федеральный закон от 06.04.2011 </w:t>
      </w:r>
      <w:hyperlink r:id="rId14">
        <w:r>
          <w:rPr>
            <w:color w:val="0563C1"/>
            <w:u w:val="single"/>
            <w:sz w:val="28"/>
            <w:rFonts w:ascii="Times New Roman" w:hAnsi="Times New Roman"/>
          </w:rPr>
          <w:t xml:space="preserve">№ 63‑ФЗ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задаёт иерархию электронных подписей, близкую </w:t>
      </w:r>
      <w:hyperlink r:id="rId15">
        <w:r>
          <w:rPr>
            <w:color w:val="0563C1"/>
            <w:u w:val="single"/>
            <w:sz w:val="28"/>
            <w:rFonts w:ascii="Times New Roman" w:hAnsi="Times New Roman"/>
          </w:rPr>
          <w:t xml:space="preserve">eIDAS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>. УКЭП при соблюдении условий закона признаётся равнозначной собственноручной. Инфраструктура — аккредитованные удостоверяющие центры.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3.1.2. Кадровый ЭДО: ст. 22.1–22.3 ТК РФ</w:t>
      </w:r>
    </w:p>
    <w:p>
      <w:pPr>
        <w:spacing w:line="360" w:lineRule="auto"/>
        <w:ind w:firstLine="709"/>
      </w:pPr>
      <w:hyperlink r:id="rId9">
        <w:r>
          <w:rPr>
            <w:color w:val="0563C1"/>
            <w:u w:val="single"/>
            <w:sz w:val="28"/>
            <w:rFonts w:ascii="Times New Roman" w:hAnsi="Times New Roman"/>
          </w:rPr>
          <w:t xml:space="preserve">ТК РФ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создал специальный режим кадрового электронного документооборота: согласие работника, правила применения видов ЭП, взаимодействие сторон. Это более детальная «кадровая оболочка», чем в большинстве зарубежных систем, где кадровые документы часто покрываются общим режимом ЭП плюс согласием.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3.1.3. Обучение по охране труда: ПП РФ № 2464</w:t>
      </w:r>
    </w:p>
    <w:p>
      <w:pPr>
        <w:spacing w:line="360" w:lineRule="auto"/>
        <w:ind w:firstLine="709"/>
      </w:pPr>
      <w:hyperlink r:id="rId10">
        <w:r>
          <w:rPr>
            <w:color w:val="0563C1"/>
            <w:u w:val="single"/>
            <w:sz w:val="28"/>
            <w:rFonts w:ascii="Times New Roman" w:hAnsi="Times New Roman"/>
          </w:rPr>
          <w:t xml:space="preserve">Правила обучения по охране труда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детализируют виды обучения и инструктажей, программы, протоколы проверки знания, реестры обученных. Часть процессов цифровизируется, включая взаимодействие с государственным контуром. Однако фиксация прохождения инструктажей на местах остаётся связанной с бумажной логикой из‑за исключения в ТК РФ.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3.1.4. Трансграничность</w:t>
      </w:r>
    </w:p>
    <w:p>
      <w:pPr>
        <w:spacing w:line="360" w:lineRule="auto"/>
        <w:ind w:firstLine="709"/>
      </w:pPr>
      <w:hyperlink r:id="rId14">
        <w:r>
          <w:rPr>
            <w:color w:val="0563C1"/>
            <w:u w:val="single"/>
            <w:sz w:val="28"/>
            <w:rFonts w:ascii="Times New Roman" w:hAnsi="Times New Roman"/>
          </w:rPr>
          <w:t xml:space="preserve">Статья 7 63‑ФЗ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регулирует признание иностранных электронных подписей. В ЕАЭС действует </w:t>
      </w:r>
      <w:hyperlink r:id="rId16">
        <w:r>
          <w:rPr>
            <w:color w:val="0563C1"/>
            <w:u w:val="single"/>
            <w:sz w:val="28"/>
            <w:rFonts w:ascii="Times New Roman" w:hAnsi="Times New Roman"/>
          </w:rPr>
          <w:t xml:space="preserve">Решение № 120 о ДТС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. </w:t>
      </w:r>
      <w:hyperlink r:id="rId17">
        <w:r>
          <w:rPr>
            <w:color w:val="0563C1"/>
            <w:u w:val="single"/>
            <w:sz w:val="28"/>
            <w:rFonts w:ascii="Times New Roman" w:hAnsi="Times New Roman"/>
          </w:rPr>
          <w:t xml:space="preserve">ФЗ от 04.08.2026 № 315‑ФЗ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устанавливает правила УКЭП для международных организаций и их филиалов/представительств в РФ (сертификат выдаёт УЦ ФНС). Эти нормы усиливают внутренний и интеграционный контуры, но не создают автоматического взаимного признания «как в ЕС».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3.1.5. Российское зеркало: разъяснения и судебная практика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Прямого опубликованного спора «электронный журнал инструктажа ничтожен» нет: вопрос носителя закрыл законодатель. Для НИР достаточно четырёх опор, без вымышленных номеров дел.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ЭДО в целом.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  <w:hyperlink r:id="rId18">
        <w:r>
          <w:rPr>
            <w:color w:val="0563C1"/>
            <w:u w:val="single"/>
            <w:sz w:val="28"/>
            <w:rFonts w:ascii="Times New Roman" w:hAnsi="Times New Roman"/>
          </w:rPr>
          <w:t xml:space="preserve">Пленум ВС РФ от 23.06.2015 № 25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>, п. 65: юридически значимое сообщение можно направить по электронной почте и иной связи, если можно достоверно установить отправителя и адресата. Это ближе к свободной оценке достоверности, чем к кенийскому сертификату 106B или испанской презумпции LEC 326.4.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Административная практика по журналам.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  <w:hyperlink r:id="rId19">
        <w:r>
          <w:rPr>
            <w:color w:val="0563C1"/>
            <w:u w:val="single"/>
            <w:sz w:val="28"/>
            <w:rFonts w:ascii="Times New Roman" w:hAnsi="Times New Roman"/>
          </w:rPr>
          <w:t xml:space="preserve">Письмо Минтруда от 30.05.2022 № 15‑2/В‑1677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прямо говорит, что ст. 22.1–22.3 не применяются к документам об инструктажах. </w:t>
      </w:r>
      <w:hyperlink r:id="rId13">
        <w:r>
          <w:rPr>
            <w:color w:val="0563C1"/>
            <w:u w:val="single"/>
            <w:sz w:val="28"/>
            <w:rFonts w:ascii="Times New Roman" w:hAnsi="Times New Roman"/>
          </w:rPr>
          <w:t xml:space="preserve">Письмо Минтруда от 12.01.2023 № 14‑6/ООГ‑97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добавляет мотив: акт НС и документы об инструктажах подписываются только на бумаге, чтобы их нельзя было менять задним числом в короткие сроки защиты прав. </w:t>
      </w:r>
      <w:hyperlink r:id="rId20">
        <w:r>
          <w:rPr>
            <w:color w:val="0563C1"/>
            <w:u w:val="single"/>
            <w:sz w:val="28"/>
            <w:rFonts w:ascii="Times New Roman" w:hAnsi="Times New Roman"/>
          </w:rPr>
          <w:t xml:space="preserve">Онлайнинспекция, вопрос 178122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(22.03.2023) подтверждает ту же позицию Роструда: журналы не входят в КЭДО, нужны собственноручные подписи. Нарушение — зона </w:t>
      </w:r>
      <w:hyperlink r:id="rId21">
        <w:r>
          <w:rPr>
            <w:color w:val="0563C1"/>
            <w:u w:val="single"/>
            <w:sz w:val="28"/>
            <w:rFonts w:ascii="Times New Roman" w:hAnsi="Times New Roman"/>
          </w:rPr>
          <w:t xml:space="preserve">ст. 5.27.1 КоАП РФ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Суд смотрит содержание журнала, не «электронность».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Постановление ВС РФ от 06.09.2024 </w:t>
      </w:r>
      <w:hyperlink r:id="rId22">
        <w:r>
          <w:rPr>
            <w:color w:val="0563C1"/>
            <w:u w:val="single"/>
            <w:sz w:val="28"/>
            <w:rFonts w:ascii="Times New Roman" w:hAnsi="Times New Roman"/>
          </w:rPr>
          <w:t xml:space="preserve">№ 49‑АД24‑22‑К6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— </w:t>
      </w:r>
      <w:r>
        <w:rPr>
          <w:rFonts w:ascii="Times New Roman" w:hAnsi="Times New Roman" w:eastAsia="Times New Roman"/>
          <w:b/>
          <w:i w:val="0"/>
          <w:sz w:val="28"/>
        </w:rPr>
        <w:t>аналогия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дело не про носитель. ВС подтвердил ответственность за допуск без повторного инструктажа и за журнал без указания ЛНА (п. 87 Правил № 2464). Это тот же угол, что у BAG и Redmond: содержание и факт обучения. </w:t>
      </w:r>
      <w:hyperlink r:id="rId23">
        <w:r>
          <w:rPr>
            <w:color w:val="0563C1"/>
            <w:u w:val="single"/>
            <w:sz w:val="28"/>
            <w:rFonts w:ascii="Times New Roman" w:hAnsi="Times New Roman"/>
          </w:rPr>
          <w:t xml:space="preserve">Пленум ВС от 29.11.2018 № 41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отдельно требует исследовать акт НС и материалы ГИТ по уголовным делам об охране труда — ещё один довод не смешивать акт НС с «лёгким» журналом инструктажа.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3.2. Точки сходства российской и зарубежной моделей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3.2.1. Недискриминация электронной формы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И РФ, и рассмотренные юрисдикции исходят из того, что электронный документ не отвергается только из‑за электронной формы — при соблюдении условий закона.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3.2.2. Близость иерархии подписи РФ к модели ЕС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ПЭП/УНЭП/УКЭП функционально сопоставимы с SES/AES/QES. По этому параметру РФ ближе к ЕС, чем к США.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3.2.3. Наличие аккредитованной инфраструктуры доверия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Российские аккредитованные УЦ и европейские QTSP — институты одного семейства. США здесь — исключение.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3.3. Ключевые расхождения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3.3.1. Исключение инструктажей по ОТ и актов НС из КЭДО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Центральный сравнительно-правовой факт: </w:t>
      </w:r>
      <w:hyperlink r:id="rId9">
        <w:r>
          <w:rPr>
            <w:color w:val="0563C1"/>
            <w:u w:val="single"/>
            <w:sz w:val="28"/>
            <w:rFonts w:ascii="Times New Roman" w:hAnsi="Times New Roman"/>
          </w:rPr>
          <w:t xml:space="preserve">ч. 3 ст. 22.1 ТК РФ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прямо исключает из кадрового ЭДО документы, подтверждающие прохождение инструктажей по охране труда (в том числе лично подписываемые работником), а также акты о несчастном случае на производстве.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Среди 13 юрисдикций аналогичного общесистемного запрета нет. США прямо допускают </w:t>
      </w:r>
      <w:hyperlink r:id="rId24">
        <w:r>
          <w:rPr>
            <w:color w:val="0563C1"/>
            <w:u w:val="single"/>
            <w:sz w:val="28"/>
            <w:rFonts w:ascii="Times New Roman" w:hAnsi="Times New Roman"/>
          </w:rPr>
          <w:t xml:space="preserve">electronic training records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>; Казахстан прямо разрешает электронный журнал инструктажа с ЭЦП (</w:t>
      </w:r>
      <w:hyperlink r:id="rId25">
        <w:r>
          <w:rPr>
            <w:color w:val="0563C1"/>
            <w:u w:val="single"/>
            <w:sz w:val="28"/>
            <w:rFonts w:ascii="Times New Roman" w:hAnsi="Times New Roman"/>
          </w:rPr>
          <w:t xml:space="preserve">закон РК № 370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); Беларусь — </w:t>
      </w:r>
      <w:hyperlink r:id="rId11">
        <w:r>
          <w:rPr>
            <w:color w:val="0563C1"/>
            <w:u w:val="single"/>
            <w:sz w:val="28"/>
            <w:rFonts w:ascii="Times New Roman" w:hAnsi="Times New Roman"/>
          </w:rPr>
          <w:t xml:space="preserve">п. 35 Инструкции № 175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при идентификации и защите от правок. ЕС‑четвёрка (DE/ES/IE/FR) запрета носителя не знает. Сербия запретила только Form 6. Кения отраслевым законом молчит, но суд может не допустить e‑запись без 106B.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Внутри самой РФ есть второй контраст: </w:t>
      </w:r>
      <w:hyperlink r:id="rId10">
        <w:r>
          <w:rPr>
            <w:color w:val="0563C1"/>
            <w:u w:val="single"/>
            <w:sz w:val="28"/>
            <w:rFonts w:ascii="Times New Roman" w:hAnsi="Times New Roman"/>
          </w:rPr>
          <w:t xml:space="preserve">протокол проверки знания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по п. 91–93 Правил № 2464 уже можно вести электронно. Запрет бьёт по журналу инструктажа и акту НС, а не по «всей охране труда».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Практическое следствие: работодатель может цифровизировать приказы, инструкции, часть ознакомления с ЛНА и протоколы обучения, но подтверждение инструктажа на рабочем месте остаётся бумажным «замком».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3.3.2. Формализм журнала vs содержательная достаточность записи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Российский контроль традиционно чувствителен к наличию журнала установленной структуры и собственноручной подписи. UK и частично США смещают акцент на sufficient/reliable record и certification. Оба подхода легитимны, но цифровая трансформация лучше стыкуется со вторым — при условии жёстких реквизитов записи и audit trail.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3.3.3. Отсутствие прямого аналога сервиса проверки обучения (TRS)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РФ есть элементы реестров обученных по № 2464, но нет столь же удобного для работодателя сервиса проверки статуса обучения подрядчика «здесь и сейчас», как Singapore TRS. Для работ повышенной опасности это заметный пробел практики.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3.3.4. Трансграничное признание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ЕС даёт автоматизм внутри Союза. РФ и ЕАЭС идут через ДТС и точечные нормы 63‑ФЗ/315‑ФЗ. Это не недостаток само по себе, но требует доведения квитанций ДТС до понятного судебного доказательства и развития B2B-сценариев, а не только B2G.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3.4. Что из зарубежного опыта целесообразно заимствовать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3.4.1. Электронный журнал инструктажа (Беларусь п. 35; Казахстан как более жёсткий вариант)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Ближайший переносимый образец — </w:t>
      </w:r>
      <w:hyperlink r:id="rId11">
        <w:r>
          <w:rPr>
            <w:color w:val="0563C1"/>
            <w:u w:val="single"/>
            <w:sz w:val="28"/>
            <w:rFonts w:ascii="Times New Roman" w:hAnsi="Times New Roman"/>
          </w:rPr>
          <w:t xml:space="preserve">п. 35 Инструкции Минтруда РБ № 175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>: электронная регистрация инструктажа при идентификации работника, метке времени и защите от несанкционированных правок, без обязательной ЭЦП у каждого рабочего. Казахстанская модель (журнал + ЭЦП обеих сторон по закону № 370) жёстче и ближе к УНЭП/УКЭП, но хуже масштабируется на массовый инструктаж. Для РФ разумнее белорусские условия 1–3, а не требование УКЭП у каждого работника. Это не ломка видов инструктажей № 2464, а смена носителя и способа фиксации.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3.4.2. Стандарт реквизитов и audit trail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Зафиксировать минимальные реквизиты электронной записи ОТ: кто, когда, вид мероприятия, программа/инструкция, результат проверки, идентификатор средства подписи, неизменность/лог изменений. Без этого цифровизация породит серую зону.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3.4.3. Сервис проверки обучения до допуска (мотив Сингапура)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Развивать проверяемый электронный статус обучения для подрядчиков и работ повышенной опасности: работодатель и инспектор видят актуальный результат, поддельные протоколы обесцениваются.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3.4.4. Электронные наряды-допуски и шаблоны ОПР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E‑PTW с блокировками допуска и типовые электронные шаблоны оценки профрисков повышают содержательное качество ОТ, не конфликтуя с российской моделью видов работ повышенной опасности.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3.4.5. Квалифицированный архив, метка времени, registered delivery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Институты eIDAS 2.0 усиливают судебную доказываемость целостности и факта получения. Для журналов ОТ и уведомлений работников это практичнее, чем спор о «названии» подписи.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3.5. Что не следует механически переносить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3.5.1. Отказ от иерархии ПЭП/УНЭП/УКЭП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Американская абсолютная нейтральность разрушит B2G и предсказуемость для слабой стороны.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3.5.2. Полный отказ от подтверждения работника на инструктаже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Даже если OSHA в ряде стандартов делает акцент на certification работодателя, в российской судебной и дисциплинарной практике волеизъявление работника остаётся критичным. Электронная форма должна сохранять подтверждение обеих сторон записи.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3.5.3. Обязательный кошелёк идентичности до готовности инфраструктуры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EUDI Wallet — долгосрочный европейский проект со своими сроками. Для РФ разумнее пилоты и добровольные сервисы верификации, а не немедленная обязанность.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3.5.4. Перенос MLETR в кадровый/охранительный оборот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Режим электронных передаваемых документов предназначен для товарораспорядительных инструментов, не для журналов инструктажа.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3.6. Предложения de lege lata и de lege ferenda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3.6.1. Что можно сделать без изменения ТК РФ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расширять КЭДО для документов ОТ вне исключений ч. 3 ст. 22.1 (приказы, инструкции, ознакомление с ЛНА);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усиливать протоколы проверки знания и реестры по № 2464 в электронном контуре;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внедрять ЛНА о реквизитах электронных записей ОТ и audit trail;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использовать УНЭП/УКЭП для внутренних процессов, не заменяя ими запрещённое «чистое» электронное подтверждение инструктажа до изменения закона.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3.6.2. Какие правки нужны для электронного журнала инструктажа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Журнал и акт НС нельзя «освобождать» одной фразой. Минтруд в письме </w:t>
      </w:r>
      <w:hyperlink r:id="rId13">
        <w:r>
          <w:rPr>
            <w:color w:val="0563C1"/>
            <w:u w:val="single"/>
            <w:sz w:val="28"/>
            <w:rFonts w:ascii="Times New Roman" w:hAnsi="Times New Roman"/>
          </w:rPr>
          <w:t xml:space="preserve">14‑6/ООГ‑97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объясняет бумагу акта НС процессуально: документ нельзя менять задним числом в короткие сроки защиты прав. Журнал инструктажа — регистр допуска; его мотив закрывается идентификацией, меткой времени и audit trail (модель </w:t>
      </w:r>
      <w:hyperlink r:id="rId11">
        <w:r>
          <w:rPr>
            <w:color w:val="0563C1"/>
            <w:u w:val="single"/>
            <w:sz w:val="28"/>
            <w:rFonts w:ascii="Times New Roman" w:hAnsi="Times New Roman"/>
          </w:rPr>
          <w:t xml:space="preserve">п. 35 Инструкции № 175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>).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Вариант A (предпочтительный) — дополнить ч. 3 ст. 22.1 ТК РФ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новым абзацем после перечня исключений: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«Положения настоящей статьи и статей 22.2 и 22.3 настоящего Кодекса применяются к документам, подтверждающим прохождение работником инструктажей по охране труда, если такие документы ведутся в электронной форме с использованием программных средств, которые: 1) однозначно идентифицируют работника и лицо, проводившее инструктаж; 2) фиксируют дату и время внесения записи; 3) исключают несанкционированное изменение записи либо обеспечивают неизменяемый журнал событий (audit trail); 4) позволяют воспроизвести запись в течение сроков хранения, установленных законодательством об архивном деле. Электронная подпись работника не является обязательной, если идентификация обеспечена иным способом, предусмотренным локальным нормативным актом работодателя и не противоречащим настоящему Кодексу. На акт о несчастном случае на производстве по установленной форме настоящий абзац не распространяется.»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Вариант B — не трогать ТК, дописать ПП 2464.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Пока ч. 3 ст. 22.1 не изменена, электронный журнал не может полностью заменить бумажный. В Правила после п. 87 целесообразно явно развести: протокол проверки знания ведётся по п. 91–93 (уже можно электронно); регистрация инструктажа на рабочем месте — либо по варианту A, либо параллельный внутренний учёт, не заменяющий бумажную форму до изменения Кодекса.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Сопутствующие реквизиты электронной записи (для ЛНА / 2464): идентификаторы сторон; дата, время, вид инструктажа; наименование ЛНА в объёме п. 87 Правил № 2464 (см. </w:t>
      </w:r>
      <w:hyperlink r:id="rId22">
        <w:r>
          <w:rPr>
            <w:color w:val="0563C1"/>
            <w:u w:val="single"/>
            <w:sz w:val="28"/>
            <w:rFonts w:ascii="Times New Roman" w:hAnsi="Times New Roman"/>
          </w:rPr>
          <w:t xml:space="preserve">ВС 49‑АД24‑22‑К6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>); привязка к рабочему месту / карте ОПР; срок хранения 45 лет (</w:t>
      </w:r>
      <w:hyperlink r:id="rId26">
        <w:r>
          <w:rPr>
            <w:color w:val="0563C1"/>
            <w:u w:val="single"/>
            <w:sz w:val="28"/>
            <w:rFonts w:ascii="Times New Roman" w:hAnsi="Times New Roman"/>
          </w:rPr>
          <w:t xml:space="preserve">приказ Росархива № 236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>, п. 423 «а»). Не требовать УКЭП у каждого рабочего. Не копировать кенийский 106B как условие каждой отметки. Полный рабочий текст — в приложении «Проект правок».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3.6.3. Направления развития ДТС ЕАЭС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Для практики работодателя полезны: понятный формат квитанции проверки ДТС как судебного доказательства; расширение сценариев B2B; взаимное признание электронных записей обучения/инструктажей при трансграничных работах в Союзе — по мере готовности национальных режимов.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1F4E79"/>
          <w:sz w:val="30"/>
        </w:rPr>
        <w:t>§ 3.7. Сроки хранения и персональные данные электронной записи ОТ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«Просто разрешить PDF‑журнал» недостаточно. </w:t>
      </w:r>
      <w:hyperlink r:id="rId26">
        <w:r>
          <w:rPr>
            <w:color w:val="0563C1"/>
            <w:u w:val="single"/>
            <w:sz w:val="28"/>
            <w:rFonts w:ascii="Times New Roman" w:hAnsi="Times New Roman"/>
          </w:rPr>
          <w:t xml:space="preserve">Приказ Росархива от 20.12.2019 № 236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, п. 423: журналы вводного инструктажа и инструктажа на рабочем месте хранятся </w:t>
      </w:r>
      <w:r>
        <w:rPr>
          <w:rFonts w:ascii="Times New Roman" w:hAnsi="Times New Roman" w:eastAsia="Times New Roman"/>
          <w:b/>
          <w:i w:val="0"/>
          <w:sz w:val="28"/>
        </w:rPr>
        <w:t>45 лет</w:t>
      </w:r>
      <w:r>
        <w:rPr>
          <w:rFonts w:ascii="Times New Roman" w:hAnsi="Times New Roman" w:eastAsia="Times New Roman"/>
          <w:b w:val="0"/>
          <w:i w:val="0"/>
          <w:sz w:val="28"/>
        </w:rPr>
        <w:t>; журналы проверки знаний — 5 лет. Документы о производственных травмах и несчастных случаях — 45 лет (связанные с человеческими жертвами — постоянно). Электронный журнал, который живёт, пока действует договор с вендором LMS, юридически слабее бумаги, если через десять лет файл нельзя воспроизвести. Поэтому в условиях варианта A сразу писать: хранение не короче архивного срока; экспорт в нейтральном формате; запрет «данные только у подрядчика».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Электронный журнал — массив персональных данных: ФИО, должность, подразделение, рабочее место, время, иногда биометрия для идентификации. </w:t>
      </w:r>
      <w:hyperlink r:id="rId27">
        <w:r>
          <w:rPr>
            <w:color w:val="0563C1"/>
            <w:u w:val="single"/>
            <w:sz w:val="28"/>
            <w:rFonts w:ascii="Times New Roman" w:hAnsi="Times New Roman"/>
          </w:rPr>
          <w:t xml:space="preserve">152‑ФЗ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задаёт законную цель (обязанности работодателя по ОТ), минимизацию, безопасность и трансграничную передачу (ст. 12). Архивные 45 лет как раз задают долгий срок хранения, а не «удалить после увольнения». В ЕС те же записи попадают под </w:t>
      </w:r>
      <w:hyperlink r:id="rId28">
        <w:r>
          <w:rPr>
            <w:color w:val="0563C1"/>
            <w:u w:val="single"/>
            <w:sz w:val="28"/>
            <w:rFonts w:ascii="Times New Roman" w:hAnsi="Times New Roman"/>
          </w:rPr>
          <w:t xml:space="preserve">GDPR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(ст. 5 и 32): это не запрет e‑журнала, а требование спроектировать доступ, логи и место сервера. Идентификация работника не равна биометрии по умолчанию. Акт НС содержит ещё более чувствительные данные о здоровье — ещё один довод оставить ему отдельный, более тяжёлый режим.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F4E79"/>
          <w:sz w:val="32"/>
        </w:rPr>
        <w:t>ЗАКЛЮЧЕНИЕ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Проведённый анализ позволяет сформулировать следующие выводы.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Первое.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Регулирование ЭДО в иностранных государствах строится вокруг юридической силы электронной записи и подписи, услуг доверия и трансграничного признания. Две базовые модели — европейская иерархия подписей с квалифицированными услугами доверия и американская технологическая нейтральность. Российская система ближе к европейской.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Второе.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Зарубежный опыт применения ЭДО в охране труда почти нигде не оформлен отдельным «законом об ЭДО в ОТ». Электронные записи инструктажей, обучения, оценки рисков и отчётности выводятся из общей рамки ЭДО и обязанностей работодателя по OSH/WSH. Прямые образцы журнала — </w:t>
      </w:r>
      <w:hyperlink r:id="rId11">
        <w:r>
          <w:rPr>
            <w:color w:val="0563C1"/>
            <w:u w:val="single"/>
            <w:sz w:val="28"/>
            <w:rFonts w:ascii="Times New Roman" w:hAnsi="Times New Roman"/>
          </w:rPr>
          <w:t xml:space="preserve">п. 35 Инструкции Минтруда Беларуси № 175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(идентификация + время + защита от правок) и электронный журнал Казахстана с ЭЦП. OSHA прямо допустила electronic training records; Сингапур добавил государственный сервис проверки (TRS). Сербия оставила на бумаге только учёт обучения (Form 6). ЕС‑четвёрка запрета носителя не знает: суды спорят о содержании обучения.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Третье.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Ключевое расхождение с российской практикой — ч. 3 ст. 22.1 ТК РФ, исключающая из КЭДО подтверждение инструктажей по охране труда и акты о несчастном случае. Среди 13 юрисдикций аналогичного общесистемного запрета нет. Запрет применяет администрация (</w:t>
      </w:r>
      <w:hyperlink r:id="rId13">
        <w:r>
          <w:rPr>
            <w:color w:val="0563C1"/>
            <w:u w:val="single"/>
            <w:sz w:val="28"/>
            <w:rFonts w:ascii="Times New Roman" w:hAnsi="Times New Roman"/>
          </w:rPr>
          <w:t xml:space="preserve">письма Минтруда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>, Онлайнинспекция 178122), а не суд. Российский суд, как BAG и Redmond, проверяет содержание журнала (</w:t>
      </w:r>
      <w:hyperlink r:id="rId22">
        <w:r>
          <w:rPr>
            <w:color w:val="0563C1"/>
            <w:u w:val="single"/>
            <w:sz w:val="28"/>
            <w:rFonts w:ascii="Times New Roman" w:hAnsi="Times New Roman"/>
          </w:rPr>
          <w:t xml:space="preserve">ВС 49‑АД24‑22‑К6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— аналогия, не спор о носителе). Внутри самой РФ протокол проверки знания уже можно вести электронно (ПП 2464 п. 91–93): запрет точечный, а не «вся ОТ на бумаге».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Четвёртое.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Целесообразные заимствования: легализация электронного журнала по белорусской модели (без обязательной УКЭП у каждого рабочего); стандарт реквизитов, включая наименование ЛНА (п. 87 Правил № 2464) и audit trail; архивная воспроизводимость 45 лет (</w:t>
      </w:r>
      <w:hyperlink r:id="rId26">
        <w:r>
          <w:rPr>
            <w:color w:val="0563C1"/>
            <w:u w:val="single"/>
            <w:sz w:val="28"/>
            <w:rFonts w:ascii="Times New Roman" w:hAnsi="Times New Roman"/>
          </w:rPr>
          <w:t xml:space="preserve">Росархив № 236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>); сервис проверки обучения до допуска; e‑наряды‑допуски и шаблоны ОПР; институты квалифицированного архива и метки времени. Нецелесообразны: отказ от иерархии подписей, устранение подтверждения работника, немедленный обязательный кошелёк идентичности, перенос MLETR в охрану труда, смешение журнала инструктажа с актом НС.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Пятое.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Практический вектор для РФ — не «отменить бумагу любой ценой», а заменить бумажный формализм доказываемой электронной записью, сохранив содержание инструктажа, обучение по № 2464, архивный срок, режим персональных данных (</w:t>
      </w:r>
      <w:hyperlink r:id="rId27">
        <w:r>
          <w:rPr>
            <w:color w:val="0563C1"/>
            <w:u w:val="single"/>
            <w:sz w:val="28"/>
            <w:rFonts w:ascii="Times New Roman" w:hAnsi="Times New Roman"/>
          </w:rPr>
          <w:t xml:space="preserve">152‑ФЗ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 xml:space="preserve"> / </w:t>
      </w:r>
      <w:hyperlink r:id="rId28">
        <w:r>
          <w:rPr>
            <w:color w:val="0563C1"/>
            <w:u w:val="single"/>
            <w:sz w:val="28"/>
            <w:rFonts w:ascii="Times New Roman" w:hAnsi="Times New Roman"/>
          </w:rPr>
          <w:t xml:space="preserve">GDPR</w:t>
        </w:r>
      </w:hyperlink>
      <w:r>
        <w:rPr>
          <w:rFonts w:ascii="Times New Roman" w:hAnsi="Times New Roman" w:eastAsia="Times New Roman"/>
          <w:b w:val="0"/>
          <w:i w:val="0"/>
          <w:sz w:val="28"/>
        </w:rPr>
        <w:t>) и процессуальные гарантии расследования несчастных случаев.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F4E79"/>
          <w:sz w:val="32"/>
        </w:rPr>
        <w:t>СПИСОК ИСПОЛЬЗОВАННЫХ ИСТОЧНИКОВ (ОСНОВНЫЕ)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Международные акты и документы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UNCITRAL Model Law on Electronic Commerce (1996). https://uncitral.un.org/en/texts/ecommerce/modellaw/electronic_commerce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UNCITRAL Model Law on Electronic Signatures (2001). https://uncitral.un.org/en/texts/ecommerce/modellaw/electronic_signatures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United Nations Convention on the Use of Electronic Communications in International Contracts (2005). https://uncitral.un.org/en/texts/ecommerce/conventions/electronic_communications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UNCITRAL Model Law on Electronic Transferable Records (2017) and Status. https://uncitral.un.org/en/texts/ecommerce/modellaw/electronic_transferable_records/status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Европейский союз и Великобритания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Regulation (EU) No 910/2014 (eIDAS). https://eur-lex.europa.eu/legal-content/EN/TXT/?uri=CELEX:32014R0910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Regulation (EU) 2024/1183 (eIDAS 2.0). https://eur-lex.europa.eu/legal-content/EN/TXT/?uri=CELEX:32024R1183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Directive 89/391/EEC (OSH Framework Directive). https://eur-lex.europa.eu/legal-content/EN/TXT/?uri=CELEX:01989L0391-20081211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Electronic Communications Act 2000, s.7. https://www.legislation.gov.uk/ukpga/2000/7/section/7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Electronic Trade Documents Act 2023. https://www.legislation.gov.uk/ukpga/2023/38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Management of Health and Safety at Work Regulations 1999, reg. 3. https://www.legislation.gov.uk/uksi/1999/3242/regulation/3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UK DVS trust framework 1.0. https://www.gov.uk/government/publications/uk-digital-verification-services-trust-framework-1-0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США, Сингапур, Китай, Казахстан / ЕАЭС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ESIGN Act, 15 U.S.C. Chapter 96. https://www.law.cornell.edu/uscode/text/15/chapter-96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OSHA LOI 14.08.1997 — electronic training records. https://www.osha.gov/laws-regs/standardinterpretations/1997-08-14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29 CFR Part 1904. https://www.osha.gov/laws-regs/regulations/standardnumber/1904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Singapore Electronic Transactions Act 2010. https://sso.agc.gov.sg/Act/ETA2010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MOM — Check WSH training records (TRS). https://www.mom.gov.sg/eservices/services/check-worker-training-records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Electronic Signature Law of the PRC (WIPO Lex). https://www.wipo.int/wipolex/en/legislation/details/6563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Закон РК от 07.01.2003 № 370. https://adilet.zan.kz/rus/docs/Z030000370_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Правила обучения/инструктирования ОТ РК (приказ № 1019; обзор/текст). https://zakon.mybuh.kz/rus/docs/v1500012665/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Решение Коллегии ЕЭК от 22.08.2023 № 120. https://docs.eaeunion.org/documents/414/7596/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Второй комплект (DE, BY, RS, ES, IE, FR, KE)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Инструкция Минтруда РБ № 175, п. 35 (электронная регистрация инструктажа). https://www.mintrud.gov.by/uploads/files/MTiSZ-175-po-sost.-na-02.09.2024.pdf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Закон РБ от 28.12.2009 № 113‑З. https://pravo.by/document/?guid=3871&amp;p0=H10900113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ArbSchG § 12. https://www.gesetze-im-internet.de/arbschg/__12.html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BAG 1 ABR 104/09. https://www.bundesarbeitsgericht.de/entscheidung/1-abr-104-09/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Закон о БЗР Республики Сербия (Сл. гласник РС 35/2023). https://www.paragraf.rs/propisi/zakon-o-bezbednosti-i-zdravlju-na-radu.html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GDPR (EU) 2016/679. https://eur-lex.europa.eu/legal-content/EN/TXT/?uri=CELEX:32016R0679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Российская Федерация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Федеральный закон от 06.04.2011 № 63‑ФЗ «Об электронной подписи». https://www.consultant.ru/document/cons_doc_LAW_112701/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Трудовой кодекс РФ, ст. 22.1–22.3. https://www.consultant.ru/document/cons_doc_LAW_34683/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Постановление Правительства РФ от 24.12.2021 № 2464. https://www.consultant.ru/document/cons_doc_LAW_405146/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Федеральный закон от 04.08.2026 № 315‑ФЗ (изменения в закон об электронной подписи). http://kremlin.ru/acts/news/80444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Пленум ВС РФ от 23.06.2015 № 25, п. 65. https://www.consultant.ru/document/cons_doc_LAW_181602/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Пленум ВС РФ от 29.11.2018 № 41. https://www.consultant.ru/document/cons_doc_LAW_312308/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Письмо Минтруда от 30.05.2022 № 15‑2/В‑1677. https://dou.su/files/docs/MSG_MT_30_05_2022_15_2.pdf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Письмо Минтруда от 12.01.2023 № 14‑6/ООГ‑97. https://base.garant.ru/406201483/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Онлайнинспекция.рф, вопрос 178122 (22.03.2023). https://онлайнинспекция.рф/questions/view/178122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Постановление ВС РФ от 06.09.2024 № 49‑АД24‑22‑К6 (обзор; аналогия — содержание журнала, не носитель). https://www.garant.ru/news/1759182/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КоАП РФ, ст. 5.27.1. https://www.consultant.ru/document/cons_doc_LAW_34661/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Приказ Росархива от 20.12.2019 № 236, п. 423. https://base.garant.ru/73524230/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Федеральный закон от 27.07.2006 № 152‑ФЗ «О персональных данных». https://www.consultant.ru/document/cons_doc_LAW_61873/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1F4E79"/>
          <w:sz w:val="32"/>
        </w:rPr>
        <w:t>ПРИЛОЖЕНИЯ (перечень)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1. Матрица A — ЭДО в целом (`Матрица_НИР_ЭДО_заполненная.xlsx`, лист A).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2. Матрица B — ЭДО в охране труда (лист B).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3. Матрица C — сравнение с РФ (лист C).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4. Страновые карточки ЭДО в целом (`edo_by_country/`).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5. Страновые карточки ЭДО в ОТ (`edo_ot_by_country/` на ветке анализа ОТ / архив).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6. Оглавление с аннотациями параграфов (`Оглавление_НИР_ЭДО_с_параграфами.docx`).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7. Глоссарий (`Глоссарий_НИР_ЭДО.docx`).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8. Матрица документов ОТ — журнал / протокол / ОПР / наряд‑допуск / акт НС / СИЗ (`Матрица_документов_ОТ.xlsx`).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9. Проект правок ч. 3 ст. 22.1 ТК РФ и ПП № 2464 (`Проект_правок_ст_22.1_и_ПП_2464.docx`).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10. Практика РФ: Пленум № 25, письма Минтруда/Роструда, ВС 49‑АД24‑22‑К6, Пленум № 41 (`Практика_РФ_ЭДО_и_ОТ.xlsx`).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11. Сроки хранения и персональные данные (`Сроки_хранения_документов_ОТ.xlsx`).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*Черновик подготовлен как рабочий текст НИР. Перед защитой/сдачей сверить актуальные редакции иностранных актов по официальным публикациям и оформить ссылки по ГОСТ Р 7.0.5.*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nsultant.ru/document/cons_doc_LAW_34683/" TargetMode="External"/><Relationship Id="rId10" Type="http://schemas.openxmlformats.org/officeDocument/2006/relationships/hyperlink" Target="https://www.consultant.ru/document/cons_doc_LAW_405146/" TargetMode="External"/><Relationship Id="rId11" Type="http://schemas.openxmlformats.org/officeDocument/2006/relationships/hyperlink" Target="https://www.mintrud.gov.by/uploads/files/MTiSZ-175-po-sost.-na-02.09.2024.pdf" TargetMode="External"/><Relationship Id="rId12" Type="http://schemas.openxmlformats.org/officeDocument/2006/relationships/hyperlink" Target="https://www.gesetze-im-internet.de/arbschg/__12.html" TargetMode="External"/><Relationship Id="rId13" Type="http://schemas.openxmlformats.org/officeDocument/2006/relationships/hyperlink" Target="https://base.garant.ru/406201483/" TargetMode="External"/><Relationship Id="rId14" Type="http://schemas.openxmlformats.org/officeDocument/2006/relationships/hyperlink" Target="https://www.consultant.ru/document/cons_doc_LAW_112701/" TargetMode="External"/><Relationship Id="rId15" Type="http://schemas.openxmlformats.org/officeDocument/2006/relationships/hyperlink" Target="https://eur-lex.europa.eu/legal-content/EN/TXT/?uri=CELEX:32014R0910" TargetMode="External"/><Relationship Id="rId16" Type="http://schemas.openxmlformats.org/officeDocument/2006/relationships/hyperlink" Target="https://docs.eaeunion.org/documents/414/7596/" TargetMode="External"/><Relationship Id="rId17" Type="http://schemas.openxmlformats.org/officeDocument/2006/relationships/hyperlink" Target="http://kremlin.ru/acts/news/80444" TargetMode="External"/><Relationship Id="rId18" Type="http://schemas.openxmlformats.org/officeDocument/2006/relationships/hyperlink" Target="https://www.consultant.ru/document/cons_doc_LAW_181602/" TargetMode="External"/><Relationship Id="rId19" Type="http://schemas.openxmlformats.org/officeDocument/2006/relationships/hyperlink" Target="https://dou.su/files/docs/MSG_MT_30_05_2022_15_2.pdf" TargetMode="External"/><Relationship Id="rId20" Type="http://schemas.openxmlformats.org/officeDocument/2006/relationships/hyperlink" Target="https://&#1086;&#1085;&#1083;&#1072;&#1081;&#1085;&#1080;&#1085;&#1089;&#1087;&#1077;&#1082;&#1094;&#1080;&#1103;.&#1088;&#1092;/questions/view/178122" TargetMode="External"/><Relationship Id="rId21" Type="http://schemas.openxmlformats.org/officeDocument/2006/relationships/hyperlink" Target="https://www.consultant.ru/document/cons_doc_LAW_34661/" TargetMode="External"/><Relationship Id="rId22" Type="http://schemas.openxmlformats.org/officeDocument/2006/relationships/hyperlink" Target="https://www.garant.ru/news/1759182/" TargetMode="External"/><Relationship Id="rId23" Type="http://schemas.openxmlformats.org/officeDocument/2006/relationships/hyperlink" Target="https://www.consultant.ru/document/cons_doc_LAW_312308/" TargetMode="External"/><Relationship Id="rId24" Type="http://schemas.openxmlformats.org/officeDocument/2006/relationships/hyperlink" Target="https://www.osha.gov/laws-regs/standardinterpretations/1997-08-14" TargetMode="External"/><Relationship Id="rId25" Type="http://schemas.openxmlformats.org/officeDocument/2006/relationships/hyperlink" Target="https://adilet.zan.kz/rus/docs/Z030000370_" TargetMode="External"/><Relationship Id="rId26" Type="http://schemas.openxmlformats.org/officeDocument/2006/relationships/hyperlink" Target="https://base.garant.ru/73524230/" TargetMode="External"/><Relationship Id="rId27" Type="http://schemas.openxmlformats.org/officeDocument/2006/relationships/hyperlink" Target="https://www.consultant.ru/document/cons_doc_LAW_61873/" TargetMode="External"/><Relationship Id="rId28" Type="http://schemas.openxmlformats.org/officeDocument/2006/relationships/hyperlink" Target="https://eur-lex.europa.eu/legal-content/EN/TXT/?uri=CELEX:32016R06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