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i w:val="0"/>
          <w:color w:val="1F4E79"/>
          <w:sz w:val="44"/>
        </w:rPr>
        <w:t>ЭДО в Ирландия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535353"/>
          <w:sz w:val="26"/>
        </w:rPr>
        <w:t>Электронный документооборот в целом. Сравнение с Российской Федерацией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spacing w:after="240"/>
      </w:pPr>
      <w:r>
        <w:rPr>
          <w:rFonts w:ascii="Calibri" w:hAnsi="Calibri" w:eastAsia="Calibri"/>
          <w:b w:val="0"/>
          <w:i/>
          <w:color w:val="535353"/>
          <w:sz w:val="20"/>
        </w:rPr>
        <w:t>Как проверить. После каждого блока фактов — строка «Проверить» с кликабельной ссылкой на официальный текст закона, судебное решение или первоисточник. Рекомендации («что добавить / не переносить») — выводы автора НИР, но рядом указаны нормы, на которые они опираются. Номера дел не вымышлены.</w:t>
      </w:r>
    </w:p>
    <w:p>
      <w:pPr>
        <w:pStyle w:val="Heading1"/>
      </w:pPr>
      <w:r>
        <w:t>1. Краткий обзор регулирования ЭДО</w:t>
      </w:r>
    </w:p>
    <w:p>
      <w:r>
        <w:rPr>
          <w:rFonts w:ascii="Calibri" w:hAnsi="Calibri" w:eastAsia="Calibri"/>
          <w:b w:val="0"/>
          <w:i w:val="0"/>
          <w:sz w:val="24"/>
        </w:rPr>
        <w:t>Основные акты: Electronic Commerce Act 2000, ss. 9, 13; eIDAS; исключения ECA (завещания, аффидевиты, deeds, ряд судебных документов)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ECA 2000, section 9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ECA 2000, section 13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Ryanair v Billigfluege.de [2010] IEHC 47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Electronic Commerce Act 2000, s. 9 — классическая норма UNCITRAL/MLEC: электронная форма сама по себе не лишает информацию силы. Section 13 допускает электронную подпись там, где закон требует подпись, при согласии стороны и возможных требованиях AES/QES.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ECA 2000, section 9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ECA 2000, section 13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Ryanair v Billigfluege.de [2010] IEHC 47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Исключения сохранены: завещания, аффидевиты, enduring powers of attorney, deeds об отчуждении земли, ряд судебных и нотариальных актов. Это уже, чем российские исключения КЭДО, но жёстче, чем «всё можно электронно».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ECA 2000, section 9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ECA 2000, section 13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Ryanair v Billigfluege.de [2010] IEHC 47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High Court в Ryanair Ltd v Billigfluege.de GmbH [2010] IEHC 47 признал обязательность условий сайта (click‑wrap / browse‑wrap с видимой гиперссылкой): электронный договор существует, если условия были доступны и доведены до пользователя. Это common law‑логика согласия, а не PKI.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ECA 2000, section 9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ECA 2000, section 13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Ryanair v Billigfluege.de [2010] IEHC 47</w:t>
        </w:r>
      </w:hyperlink>
    </w:p>
    <w:p>
      <w:pPr>
        <w:pStyle w:val="Heading1"/>
      </w:pPr>
      <w:r>
        <w:t>2. Ключевые особенности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Non‑discrimination электронной формы (s. 9).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Список исключений (wills, affidavits, deeds).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Суды смотрят на notice and consent, не только на сертификат УЦ.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ECA 2000, section 9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ECA 2000, section 13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Ryanair v Billigfluege.de [2010] IEHC 47</w:t>
        </w:r>
      </w:hyperlink>
    </w:p>
    <w:p>
      <w:pPr>
        <w:pStyle w:val="Heading1"/>
      </w:pPr>
      <w:r>
        <w:t>3. База для сравнения: ЭДО в Российской Федерации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Юридическая сила электронного документа и подписи — прежде всего ФЗ от 06.04.2011 № 63‑ФЗ (ПЭП / УНЭП / УКЭП).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B2B‑ЭДО (счета‑фактуры, УПД и др.) — через операторов ЭДО и отраслевые требования ФНС / Минфина.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Кадровый ЭДО — ст. 22.1–22.3 ТК РФ (согласие работника, виды ЭП, исключения).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Трансграничное признание иностранных ЭП — ст. 7 63‑ФЗ: международные договоры, соглашение сторон, существенная эквивалентность; в ЕАЭС — через службу доверенной третьей стороны (ДТС).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С августа 2026: ФЗ от 04.08.2026 № 315‑ФЗ — правила УКЭП для международных (межправительственных) организаций и их филиалов/представительств в РФ; квалифицированный сертификат выдаёт УЦ ФНС России.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ФЗ от 06.04.2011 № 63‑ФЗ «Об электронной подписи»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ТК РФ, ст. 22.1–22.3 (кадровый ЭДО)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4">
        <w:r>
          <w:rPr>
            <w:color w:val="0563C1"/>
            <w:u w:val="single"/>
            <w:sz w:val="18"/>
            <w:rFonts w:ascii="Calibri" w:hAnsi="Calibri"/>
          </w:rPr>
          <w:t xml:space="preserve">ФЗ от 04.08.2026 № 315‑ФЗ (УКЭП международных организаций)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5">
        <w:r>
          <w:rPr>
            <w:color w:val="0563C1"/>
            <w:u w:val="single"/>
            <w:sz w:val="18"/>
            <w:rFonts w:ascii="Calibri" w:hAnsi="Calibri"/>
          </w:rPr>
          <w:t xml:space="preserve">Решение Коллегии ЕЭК от 22.08.2023 № 120 (ДТС ЕАЭС)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ФЗ от 06.04.2011 № 63‑ФЗ «Об электронной подписи»: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https://www.consultant.ru/document/cons_doc_LAW_112701/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ТК РФ, ст. 22.1–22.3 (кадровый ЭДО):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https://www.consultant.ru/document/cons_doc_LAW_34683/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ФЗ от 04.08.2026 № 315‑ФЗ (УКЭП международных организаций): </w:t>
      </w:r>
      <w:hyperlink r:id="rId14">
        <w:r>
          <w:rPr>
            <w:color w:val="0563C1"/>
            <w:u w:val="single"/>
            <w:sz w:val="22"/>
            <w:rFonts w:ascii="Calibri" w:hAnsi="Calibri"/>
          </w:rPr>
          <w:t xml:space="preserve">http://kremlin.ru/acts/news/80444</w:t>
        </w:r>
      </w:hyperlink>
    </w:p>
    <w:p>
      <w:pPr>
        <w:pStyle w:val="Heading1"/>
      </w:pPr>
      <w:r>
        <w:t>4. Сравнительный анализ с ЭДО РФ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Ирландия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Российская Федерация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Проверить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Юридическая сила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Информация не лишается юридической силы только потому, что она в электронной форме (s. 9). ЭП может удовлетворить требование подписи при согласии и соблюдении s. 13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Эл. документ с ЭП признаётся при соблюдении вида подписи и закона/соглашения (63‑ФЗ)</w:t>
            </w:r>
          </w:p>
        </w:tc>
        <w:tc>
          <w:tcPr>
            <w:tcW w:type="dxa" w:w="2381"/>
          </w:tcPr>
          <w:p>
            <w:r/>
            <w:hyperlink r:id="rId9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ECA 2000, section 9</w:t>
              </w:r>
            </w:hyperlink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Модель подписи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SES / AES / QES (eIDAS) поверх технологически нейтрального ECA 2000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ПЭП / УНЭП / УКЭП</w:t>
            </w:r>
          </w:p>
        </w:tc>
        <w:tc>
          <w:tcPr>
            <w:tcW w:type="dxa" w:w="2381"/>
          </w:tcPr>
          <w:p>
            <w:r/>
            <w:hyperlink r:id="rId12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ФЗ от 06.04.2011 № 63‑ФЗ «Об электронной подписи»</w:t>
              </w:r>
            </w:hyperlink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Инфраструктура доверия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QTSP ЕС + common law proof; нет испанской статутной презумпции 326.4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Аккредитованные УЦ, операторы ЭДО, УЦ ФНС</w:t>
            </w:r>
          </w:p>
        </w:tc>
        <w:tc>
          <w:tcPr>
            <w:tcW w:type="dxa" w:w="2381"/>
          </w:tcPr>
          <w:p>
            <w:r/>
            <w:hyperlink r:id="rId9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ECA 2000, section 9</w:t>
              </w:r>
            </w:hyperlink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Трансграничность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QES внутри ЕС; как common law юрисдикция сильнее смотрит на намерение аутентифицировать документ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Ст. 7 63‑ФЗ, договоры, ДТС ЕАЭС; 315‑ФЗ — УКЭП международных организаций</w:t>
            </w:r>
          </w:p>
        </w:tc>
        <w:tc>
          <w:tcPr>
            <w:tcW w:type="dxa" w:w="2381"/>
          </w:tcPr>
          <w:p>
            <w:r/>
            <w:hyperlink r:id="rId12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Ст. 7 63‑ФЗ — признание иностранных электронных подписей</w:t>
              </w:r>
            </w:hyperlink>
          </w:p>
        </w:tc>
      </w:tr>
    </w:tbl>
    <w:p/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Сходство с РФ: есть список документов, которые «нельзя просто так» перевести в электронику.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Отличие: ирландские исключения — завещания/сделки с землёй/аффидевиты, а не журналы ОТ.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Отличие: ECA 2000 технологически нейтрален; 63‑ФЗ иерархичен.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ECA 2000, section 9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ECA 2000, section 13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Ryanair v Billigfluege.de [2010] IEHC 47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ФЗ от 06.04.2011 № 63‑ФЗ «Об электронной подписи»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ТК РФ, ст. 22.1–22.3 (кадровый ЭДО)</w:t>
        </w:r>
      </w:hyperlink>
    </w:p>
    <w:p>
      <w:pPr>
        <w:pStyle w:val="Heading1"/>
      </w:pPr>
      <w:r>
        <w:t>5. Что из этой практики можно добавить в РФ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Норму non‑discrimination («не отказывать только из‑за электронной формы») рядом с иерархией ПЭП/УНЭП/УКЭП.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Требование явного согласия на ЭП (s. 13 ECA) — близко к ст. 22.1 ТК, но для любых документов, не только кадров.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ECA 2000, section 9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ECA 2000, section 13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Ryanair v Billigfluege.de [2010] IEHC 47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ТК РФ, ст. 22.1–22.3 (кадровый ЭДО)</w:t>
        </w:r>
      </w:hyperlink>
    </w:p>
    <w:p>
      <w:pPr>
        <w:pStyle w:val="Heading1"/>
      </w:pPr>
      <w:r>
        <w:t>6. Что не стоит заимствовать / лучше не ужесточать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Не переносить ирландские исключения про deeds/wills на охрану труда.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ECA 2000, section 9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ECA 2000, section 13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Ryanair v Billigfluege.de [2010] IEHC 47</w:t>
        </w:r>
      </w:hyperlink>
    </w:p>
    <w:p>
      <w:pPr>
        <w:pStyle w:val="Heading1"/>
      </w:pPr>
      <w:r>
        <w:t>7. Источники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ECA 2000, section 9: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https://www.irishstatutebook.ie/eli/2000/act/27/section/9/enacted/en/html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ECA 2000, section 13: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https://www.irishstatutebook.ie/eli/2000/act/27/section/13/enacted/en/html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Ryanair v Billigfluege.de [2010] IEHC 47: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 xml:space="preserve">https://www.bailii.org/ie/cases/IEHC/2010/H47.html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rishstatutebook.ie/eli/2000/act/27/section/9/enacted/en/html" TargetMode="External"/><Relationship Id="rId10" Type="http://schemas.openxmlformats.org/officeDocument/2006/relationships/hyperlink" Target="https://www.irishstatutebook.ie/eli/2000/act/27/section/13/enacted/en/html" TargetMode="External"/><Relationship Id="rId11" Type="http://schemas.openxmlformats.org/officeDocument/2006/relationships/hyperlink" Target="https://www.bailii.org/ie/cases/IEHC/2010/H47.html" TargetMode="External"/><Relationship Id="rId12" Type="http://schemas.openxmlformats.org/officeDocument/2006/relationships/hyperlink" Target="https://www.consultant.ru/document/cons_doc_LAW_112701/" TargetMode="External"/><Relationship Id="rId13" Type="http://schemas.openxmlformats.org/officeDocument/2006/relationships/hyperlink" Target="https://www.consultant.ru/document/cons_doc_LAW_34683/" TargetMode="External"/><Relationship Id="rId14" Type="http://schemas.openxmlformats.org/officeDocument/2006/relationships/hyperlink" Target="http://kremlin.ru/acts/news/80444" TargetMode="External"/><Relationship Id="rId15" Type="http://schemas.openxmlformats.org/officeDocument/2006/relationships/hyperlink" Target="https://docs.eaeunion.org/documents/414/759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