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F4E79"/>
          <w:sz w:val="44"/>
        </w:rPr>
        <w:t>ЭДО в Франция</w:t>
      </w:r>
    </w:p>
    <w:p>
      <w:pPr>
        <w:spacing w:after="200"/>
      </w:pPr>
      <w:r>
        <w:rPr>
          <w:rFonts w:ascii="Calibri" w:hAnsi="Calibri" w:eastAsia="Calibri"/>
          <w:b w:val="0"/>
          <w:i w:val="0"/>
          <w:color w:val="535353"/>
          <w:sz w:val="26"/>
        </w:rPr>
        <w:t>Электронный документооборот в целом. Сравнение с Российской Федерацией</w:t>
      </w:r>
    </w:p>
    <w:p>
      <w:pPr>
        <w:spacing w:after="160"/>
      </w:pPr>
      <w:r>
        <w:rPr>
          <w:rFonts w:ascii="Calibri" w:hAnsi="Calibri" w:eastAsia="Calibri"/>
          <w:b w:val="0"/>
          <w:i w:val="0"/>
          <w:color w:val="535353"/>
          <w:sz w:val="22"/>
        </w:rPr>
        <w:t>Сравнительный анализ зарубежного регулирования электронного документооборота (ЭДО) с правовой моделью Российской Федерации. Актуализация: август 2026 г.</w:t>
      </w:r>
    </w:p>
    <w:p>
      <w:pPr>
        <w:spacing w:after="240"/>
      </w:pPr>
      <w:r>
        <w:rPr>
          <w:rFonts w:ascii="Calibri" w:hAnsi="Calibri" w:eastAsia="Calibri"/>
          <w:b w:val="0"/>
          <w:i/>
          <w:color w:val="535353"/>
          <w:sz w:val="20"/>
        </w:rPr>
        <w:t>Как проверить. После каждого блока фактов — строка «Проверить» с кликабельной ссылкой на официальный текст закона, судебное решение или первоисточник. Рекомендации («что добавить / не переносить») — выводы автора НИР, но рядом указаны нормы, на которые они опираются. Номера дел не вымышлены.</w:t>
      </w:r>
    </w:p>
    <w:p>
      <w:pPr>
        <w:pStyle w:val="Heading1"/>
      </w:pPr>
      <w:r>
        <w:t>1. Краткий обзор регулирования ЭДО</w:t>
      </w:r>
    </w:p>
    <w:p>
      <w:r>
        <w:rPr>
          <w:rFonts w:ascii="Calibri" w:hAnsi="Calibri" w:eastAsia="Calibri"/>
          <w:b w:val="0"/>
          <w:i w:val="0"/>
          <w:sz w:val="24"/>
        </w:rPr>
        <w:t>Основные акты: Code civil arts. 1366–1367; décret n° 2017‑1416; eIDAS; имплементация MLETR в торговом кодексе (2024)</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r>
        <w:rPr>
          <w:rFonts w:ascii="Calibri" w:hAnsi="Calibri" w:eastAsia="Calibri"/>
          <w:b w:val="0"/>
          <w:i w:val="0"/>
          <w:sz w:val="24"/>
        </w:rPr>
        <w:t>Статьи 1366–1367 Гражданского кодекса и декрет 2017‑1416 проводят eIDAS во внутреннее право: электронная подпись — данные, связанные с актом; надёжность презюмируется лишь если это квалифицированная подпись.</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r>
        <w:rPr>
          <w:rFonts w:ascii="Calibri" w:hAnsi="Calibri" w:eastAsia="Calibri"/>
          <w:b w:val="0"/>
          <w:i w:val="0"/>
          <w:sz w:val="24"/>
        </w:rPr>
        <w:t>5 марта 2026 г. 3‑я гражданская палата Кассационного суда (n° 24‑21.034) отменила решение апелляции, которая сочла электронную подпись договора найма надёжной, потому что арендатор «не доказал кражу документов». Суд не проверил, была ли подпись квалифицированной. Без QES презумпции нет, бремя не переходит на отрицающего.</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r>
        <w:rPr>
          <w:rFonts w:ascii="Calibri" w:hAnsi="Calibri" w:eastAsia="Calibri"/>
          <w:b w:val="0"/>
          <w:i w:val="0"/>
          <w:sz w:val="24"/>
        </w:rPr>
        <w:t>14 декабря 2022 г. социальная палата (n° 21‑19.841) отдельно сказала: изображение отсканированной собственноручной подписи на трудовом договоре — не электронная подпись в смысле 1367, но и не «отсутствие подписи», если автор идентифицирован. Это критично для «картинок подписи» в журналах ОТ.</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r>
        <w:rPr>
          <w:rFonts w:ascii="Calibri" w:hAnsi="Calibri" w:eastAsia="Calibri"/>
          <w:b w:val="0"/>
          <w:i w:val="0"/>
          <w:sz w:val="24"/>
        </w:rPr>
        <w:t>В 2024 г. Франция добавила MLETR в торговый кодекс — национальный слой поверх eIDAS, к охране труда не относящийся, но показывающий готовность к электронным оригиналам в коммерции.</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pPr>
        <w:pStyle w:val="Heading1"/>
      </w:pPr>
      <w:r>
        <w:t>2. Ключевые особенности</w:t>
      </w:r>
    </w:p>
    <w:p>
      <w:pPr>
        <w:pStyle w:val="ListBullet"/>
      </w:pPr>
      <w:r>
        <w:rPr>
          <w:rFonts w:ascii="Calibri" w:hAnsi="Calibri" w:eastAsia="Calibri"/>
          <w:b w:val="0"/>
          <w:i w:val="0"/>
          <w:sz w:val="24"/>
        </w:rPr>
        <w:t>Презумпция надёжности только у QES — подтверждено в 2026 г.</w:t>
      </w:r>
    </w:p>
    <w:p>
      <w:pPr>
        <w:pStyle w:val="ListBullet"/>
      </w:pPr>
      <w:r>
        <w:rPr>
          <w:rFonts w:ascii="Calibri" w:hAnsi="Calibri" w:eastAsia="Calibri"/>
          <w:b w:val="0"/>
          <w:i w:val="0"/>
          <w:sz w:val="24"/>
        </w:rPr>
        <w:t>Скан ≠ e‑signature.</w:t>
      </w:r>
    </w:p>
    <w:p>
      <w:pPr>
        <w:pStyle w:val="ListBullet"/>
      </w:pPr>
      <w:r>
        <w:rPr>
          <w:rFonts w:ascii="Calibri" w:hAnsi="Calibri" w:eastAsia="Calibri"/>
          <w:b w:val="0"/>
          <w:i w:val="0"/>
          <w:sz w:val="24"/>
        </w:rPr>
        <w:t>MLETR в коммерции при сохранении трудовой специфики.</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pPr>
        <w:pStyle w:val="Heading1"/>
      </w:pPr>
      <w:r>
        <w:t>3. База для сравнения: ЭДО в Российской Федерации</w:t>
      </w:r>
    </w:p>
    <w:p>
      <w:pPr>
        <w:pStyle w:val="ListBullet"/>
      </w:pPr>
      <w:r>
        <w:rPr>
          <w:rFonts w:ascii="Calibri" w:hAnsi="Calibri" w:eastAsia="Calibri"/>
          <w:b w:val="0"/>
          <w:i w:val="0"/>
          <w:sz w:val="24"/>
        </w:rPr>
        <w:t>Юридическая сила электронного документа и подписи — прежде всего ФЗ от 06.04.2011 № 63‑ФЗ (ПЭП / УНЭП / УКЭП).</w:t>
      </w:r>
    </w:p>
    <w:p>
      <w:pPr>
        <w:pStyle w:val="ListBullet"/>
      </w:pPr>
      <w:r>
        <w:rPr>
          <w:rFonts w:ascii="Calibri" w:hAnsi="Calibri" w:eastAsia="Calibri"/>
          <w:b w:val="0"/>
          <w:i w:val="0"/>
          <w:sz w:val="24"/>
        </w:rPr>
        <w:t>B2B‑ЭДО (счета‑фактуры, УПД и др.) — через операторов ЭДО и отраслевые требования ФНС / Минфина.</w:t>
      </w:r>
    </w:p>
    <w:p>
      <w:pPr>
        <w:pStyle w:val="ListBullet"/>
      </w:pPr>
      <w:r>
        <w:rPr>
          <w:rFonts w:ascii="Calibri" w:hAnsi="Calibri" w:eastAsia="Calibri"/>
          <w:b w:val="0"/>
          <w:i w:val="0"/>
          <w:sz w:val="24"/>
        </w:rPr>
        <w:t>Кадровый ЭДО — ст. 22.1–22.3 ТК РФ (согласие работника, виды ЭП, исключения).</w:t>
      </w:r>
    </w:p>
    <w:p>
      <w:pPr>
        <w:pStyle w:val="ListBullet"/>
      </w:pPr>
      <w:r>
        <w:rPr>
          <w:rFonts w:ascii="Calibri" w:hAnsi="Calibri" w:eastAsia="Calibri"/>
          <w:b w:val="0"/>
          <w:i w:val="0"/>
          <w:sz w:val="24"/>
        </w:rPr>
        <w:t>Трансграничное признание иностранных ЭП — ст. 7 63‑ФЗ: международные договоры, соглашение сторон, существенная эквивалентность; в ЕАЭС — через службу доверенной третьей стороны (ДТС).</w:t>
      </w:r>
    </w:p>
    <w:p>
      <w:pPr>
        <w:pStyle w:val="ListBullet"/>
      </w:pPr>
      <w:r>
        <w:rPr>
          <w:rFonts w:ascii="Calibri" w:hAnsi="Calibri" w:eastAsia="Calibri"/>
          <w:b w:val="0"/>
          <w:i w:val="0"/>
          <w:sz w:val="24"/>
        </w:rPr>
        <w:t>С августа 2026: ФЗ от 04.08.2026 № 315‑ФЗ — правила УКЭП для международных (межправительственных) организаций и их филиалов/представительств в РФ; квалифицированный сертификат выдаёт УЦ ФНС России.</w:t>
      </w:r>
    </w:p>
    <w:p>
      <w:pPr>
        <w:spacing w:before="0" w:after="200"/>
      </w:pPr>
      <w:r>
        <w:rPr>
          <w:rFonts w:ascii="Calibri" w:hAnsi="Calibri" w:eastAsia="Calibri"/>
          <w:b w:val="0"/>
          <w:i/>
          <w:color w:val="535353"/>
          <w:sz w:val="18"/>
        </w:rPr>
        <w:t xml:space="preserve">Проверить: </w:t>
      </w:r>
      <w:hyperlink r:id="rId13">
        <w:r>
          <w:rPr>
            <w:color w:val="0563C1"/>
            <w:u w:val="single"/>
            <w:sz w:val="18"/>
            <w:rFonts w:ascii="Calibri" w:hAnsi="Calibri"/>
          </w:rPr>
          <w:t xml:space="preserve">ФЗ от 06.04.2011 № 63‑ФЗ «Об электронной подписи»</w:t>
        </w:r>
      </w:hyperlink>
      <w:r>
        <w:rPr>
          <w:rFonts w:ascii="Calibri" w:hAnsi="Calibri" w:eastAsia="Calibri"/>
          <w:b w:val="0"/>
          <w:i w:val="0"/>
          <w:color w:val="535353"/>
          <w:sz w:val="18"/>
        </w:rPr>
        <w:t xml:space="preserve">  ·  </w:t>
      </w:r>
      <w:hyperlink r:id="rId14">
        <w:r>
          <w:rPr>
            <w:color w:val="0563C1"/>
            <w:u w:val="single"/>
            <w:sz w:val="18"/>
            <w:rFonts w:ascii="Calibri" w:hAnsi="Calibri"/>
          </w:rPr>
          <w:t xml:space="preserve">ТК РФ, ст. 22.1–22.3 (кадровый ЭДО)</w:t>
        </w:r>
      </w:hyperlink>
      <w:r>
        <w:rPr>
          <w:rFonts w:ascii="Calibri" w:hAnsi="Calibri" w:eastAsia="Calibri"/>
          <w:b w:val="0"/>
          <w:i w:val="0"/>
          <w:color w:val="535353"/>
          <w:sz w:val="18"/>
        </w:rPr>
        <w:t xml:space="preserve">  ·  </w:t>
      </w:r>
      <w:hyperlink r:id="rId15">
        <w:r>
          <w:rPr>
            <w:color w:val="0563C1"/>
            <w:u w:val="single"/>
            <w:sz w:val="18"/>
            <w:rFonts w:ascii="Calibri" w:hAnsi="Calibri"/>
          </w:rPr>
          <w:t xml:space="preserve">ФЗ от 04.08.2026 № 315‑ФЗ (УКЭП международных организаций)</w:t>
        </w:r>
      </w:hyperlink>
      <w:r>
        <w:rPr>
          <w:rFonts w:ascii="Calibri" w:hAnsi="Calibri" w:eastAsia="Calibri"/>
          <w:b w:val="0"/>
          <w:i w:val="0"/>
          <w:color w:val="535353"/>
          <w:sz w:val="18"/>
        </w:rPr>
        <w:t xml:space="preserve">  ·  </w:t>
      </w:r>
      <w:hyperlink r:id="rId16">
        <w:r>
          <w:rPr>
            <w:color w:val="0563C1"/>
            <w:u w:val="single"/>
            <w:sz w:val="18"/>
            <w:rFonts w:ascii="Calibri" w:hAnsi="Calibri"/>
          </w:rPr>
          <w:t xml:space="preserve">Решение Коллегии ЕЭК от 22.08.2023 № 120 (ДТС ЕАЭС)</w:t>
        </w:r>
      </w:hyperlink>
    </w:p>
    <w:p>
      <w:pPr>
        <w:pStyle w:val="ListBullet"/>
      </w:pPr>
      <w:r>
        <w:rPr>
          <w:rFonts w:ascii="Calibri" w:hAnsi="Calibri" w:eastAsia="Calibri"/>
          <w:b w:val="0"/>
          <w:i w:val="0"/>
          <w:sz w:val="22"/>
        </w:rPr>
        <w:t xml:space="preserve">ФЗ от 06.04.2011 № 63‑ФЗ «Об электронной подписи»: </w:t>
      </w:r>
      <w:hyperlink r:id="rId13">
        <w:r>
          <w:rPr>
            <w:color w:val="0563C1"/>
            <w:u w:val="single"/>
            <w:sz w:val="22"/>
            <w:rFonts w:ascii="Calibri" w:hAnsi="Calibri"/>
          </w:rPr>
          <w:t xml:space="preserve">https://www.consultant.ru/document/cons_doc_LAW_112701/</w:t>
        </w:r>
      </w:hyperlink>
    </w:p>
    <w:p>
      <w:pPr>
        <w:pStyle w:val="ListBullet"/>
      </w:pPr>
      <w:r>
        <w:rPr>
          <w:rFonts w:ascii="Calibri" w:hAnsi="Calibri" w:eastAsia="Calibri"/>
          <w:b w:val="0"/>
          <w:i w:val="0"/>
          <w:sz w:val="22"/>
        </w:rPr>
        <w:t xml:space="preserve">ТК РФ, ст. 22.1–22.3 (кадровый ЭДО): </w:t>
      </w:r>
      <w:hyperlink r:id="rId14">
        <w:r>
          <w:rPr>
            <w:color w:val="0563C1"/>
            <w:u w:val="single"/>
            <w:sz w:val="22"/>
            <w:rFonts w:ascii="Calibri" w:hAnsi="Calibri"/>
          </w:rPr>
          <w:t xml:space="preserve">https://www.consultant.ru/document/cons_doc_LAW_34683/</w:t>
        </w:r>
      </w:hyperlink>
    </w:p>
    <w:p>
      <w:pPr>
        <w:pStyle w:val="ListBullet"/>
      </w:pPr>
      <w:r>
        <w:rPr>
          <w:rFonts w:ascii="Calibri" w:hAnsi="Calibri" w:eastAsia="Calibri"/>
          <w:b w:val="0"/>
          <w:i w:val="0"/>
          <w:sz w:val="22"/>
        </w:rPr>
        <w:t xml:space="preserve">ФЗ от 04.08.2026 № 315‑ФЗ (УКЭП международных организаций): </w:t>
      </w:r>
      <w:hyperlink r:id="rId15">
        <w:r>
          <w:rPr>
            <w:color w:val="0563C1"/>
            <w:u w:val="single"/>
            <w:sz w:val="22"/>
            <w:rFonts w:ascii="Calibri" w:hAnsi="Calibri"/>
          </w:rPr>
          <w:t xml:space="preserve">http://kremlin.ru/acts/news/80444</w:t>
        </w:r>
      </w:hyperlink>
    </w:p>
    <w:p>
      <w:pPr>
        <w:pStyle w:val="Heading1"/>
      </w:pPr>
      <w:r>
        <w:t>4. Сравнительный анализ с ЭДО РФ</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1F4E79" w:val="clear"/>
          </w:tcPr>
          <w:p>
            <w:r/>
            <w:r>
              <w:rPr>
                <w:rFonts w:ascii="Calibri" w:hAnsi="Calibri" w:eastAsia="Calibri"/>
                <w:b/>
                <w:i w:val="0"/>
                <w:color w:val="FFFFFF"/>
                <w:sz w:val="20"/>
              </w:rPr>
              <w:t>Параметр</w:t>
            </w:r>
          </w:p>
        </w:tc>
        <w:tc>
          <w:tcPr>
            <w:tcW w:type="dxa" w:w="2381"/>
            <w:shd w:fill="1F4E79" w:val="clear"/>
          </w:tcPr>
          <w:p>
            <w:r/>
            <w:r>
              <w:rPr>
                <w:rFonts w:ascii="Calibri" w:hAnsi="Calibri" w:eastAsia="Calibri"/>
                <w:b/>
                <w:i w:val="0"/>
                <w:color w:val="FFFFFF"/>
                <w:sz w:val="20"/>
              </w:rPr>
              <w:t>Франция</w:t>
            </w:r>
          </w:p>
        </w:tc>
        <w:tc>
          <w:tcPr>
            <w:tcW w:type="dxa" w:w="2381"/>
            <w:shd w:fill="1F4E79" w:val="clear"/>
          </w:tcPr>
          <w:p>
            <w:r/>
            <w:r>
              <w:rPr>
                <w:rFonts w:ascii="Calibri" w:hAnsi="Calibri" w:eastAsia="Calibri"/>
                <w:b/>
                <w:i w:val="0"/>
                <w:color w:val="FFFFFF"/>
                <w:sz w:val="20"/>
              </w:rPr>
              <w:t>Российская Федерация</w:t>
            </w:r>
          </w:p>
        </w:tc>
        <w:tc>
          <w:tcPr>
            <w:tcW w:type="dxa" w:w="2381"/>
            <w:shd w:fill="1F4E79" w:val="clear"/>
          </w:tcPr>
          <w:p>
            <w:r/>
            <w:r>
              <w:rPr>
                <w:rFonts w:ascii="Calibri" w:hAnsi="Calibri" w:eastAsia="Calibri"/>
                <w:b/>
                <w:i w:val="0"/>
                <w:color w:val="FFFFFF"/>
                <w:sz w:val="20"/>
              </w:rPr>
              <w:t>Проверить</w:t>
            </w:r>
          </w:p>
        </w:tc>
      </w:tr>
      <w:tr>
        <w:tc>
          <w:tcPr>
            <w:tcW w:type="dxa" w:w="2381"/>
          </w:tcPr>
          <w:p>
            <w:r/>
            <w:r>
              <w:rPr>
                <w:rFonts w:ascii="Calibri" w:hAnsi="Calibri" w:eastAsia="Calibri"/>
                <w:b/>
                <w:i w:val="0"/>
                <w:sz w:val="20"/>
              </w:rPr>
              <w:t>Юридическая сила</w:t>
            </w:r>
          </w:p>
        </w:tc>
        <w:tc>
          <w:tcPr>
            <w:tcW w:type="dxa" w:w="2381"/>
          </w:tcPr>
          <w:p>
            <w:r/>
            <w:r>
              <w:rPr>
                <w:rFonts w:ascii="Calibri" w:hAnsi="Calibri" w:eastAsia="Calibri"/>
                <w:b w:val="0"/>
                <w:i w:val="0"/>
                <w:sz w:val="20"/>
              </w:rPr>
              <w:t>Электронный документ приравнен к бумажному при идентифицируемости лица и целостности. Презумпция надёжности подписи — только у QES (décret 2017‑1416 / CC 1367)</w:t>
            </w:r>
          </w:p>
        </w:tc>
        <w:tc>
          <w:tcPr>
            <w:tcW w:type="dxa" w:w="2381"/>
          </w:tcPr>
          <w:p>
            <w:r/>
            <w:r>
              <w:rPr>
                <w:rFonts w:ascii="Calibri" w:hAnsi="Calibri" w:eastAsia="Calibri"/>
                <w:b w:val="0"/>
                <w:i w:val="0"/>
                <w:sz w:val="20"/>
              </w:rPr>
              <w:t>Эл. документ с ЭП признаётся при соблюдении вида подписи и закона/соглашения (63‑ФЗ)</w:t>
            </w:r>
          </w:p>
        </w:tc>
        <w:tc>
          <w:tcPr>
            <w:tcW w:type="dxa" w:w="2381"/>
          </w:tcPr>
          <w:p>
            <w:r/>
            <w:hyperlink r:id="rId9">
              <w:r>
                <w:rPr>
                  <w:color w:val="0563C1"/>
                  <w:u w:val="single"/>
                  <w:sz w:val="18"/>
                  <w:rFonts w:ascii="Calibri" w:hAnsi="Calibri"/>
                </w:rPr>
                <w:t xml:space="preserve">Cass. 3e civ., 5 mars 2026, n° 24‑21.034 (Legalis)</w:t>
              </w:r>
            </w:hyperlink>
          </w:p>
        </w:tc>
      </w:tr>
      <w:tr>
        <w:tc>
          <w:tcPr>
            <w:tcW w:type="dxa" w:w="2381"/>
          </w:tcPr>
          <w:p>
            <w:r/>
            <w:r>
              <w:rPr>
                <w:rFonts w:ascii="Calibri" w:hAnsi="Calibri" w:eastAsia="Calibri"/>
                <w:b/>
                <w:i w:val="0"/>
                <w:sz w:val="20"/>
              </w:rPr>
              <w:t>Модель подписи</w:t>
            </w:r>
          </w:p>
        </w:tc>
        <w:tc>
          <w:tcPr>
            <w:tcW w:type="dxa" w:w="2381"/>
          </w:tcPr>
          <w:p>
            <w:r/>
            <w:r>
              <w:rPr>
                <w:rFonts w:ascii="Calibri" w:hAnsi="Calibri" w:eastAsia="Calibri"/>
                <w:b w:val="0"/>
                <w:i w:val="0"/>
                <w:sz w:val="20"/>
              </w:rPr>
              <w:t>SES / AES / QES; презумпция только у qualified. Скан рукописной подписи ≠ электронная подпись (Cass. soc. 21‑19.841)</w:t>
            </w:r>
          </w:p>
        </w:tc>
        <w:tc>
          <w:tcPr>
            <w:tcW w:type="dxa" w:w="2381"/>
          </w:tcPr>
          <w:p>
            <w:r/>
            <w:r>
              <w:rPr>
                <w:rFonts w:ascii="Calibri" w:hAnsi="Calibri" w:eastAsia="Calibri"/>
                <w:b w:val="0"/>
                <w:i w:val="0"/>
                <w:sz w:val="20"/>
              </w:rPr>
              <w:t>ПЭП / УНЭП / УКЭП</w:t>
            </w:r>
          </w:p>
        </w:tc>
        <w:tc>
          <w:tcPr>
            <w:tcW w:type="dxa" w:w="2381"/>
          </w:tcPr>
          <w:p>
            <w:r/>
            <w:hyperlink r:id="rId13">
              <w:r>
                <w:rPr>
                  <w:color w:val="0563C1"/>
                  <w:u w:val="single"/>
                  <w:sz w:val="18"/>
                  <w:rFonts w:ascii="Calibri" w:hAnsi="Calibri"/>
                </w:rPr>
                <w:t xml:space="preserve">ФЗ от 06.04.2011 № 63‑ФЗ «Об электронной подписи»</w:t>
              </w:r>
            </w:hyperlink>
          </w:p>
        </w:tc>
      </w:tr>
      <w:tr>
        <w:tc>
          <w:tcPr>
            <w:tcW w:type="dxa" w:w="2381"/>
          </w:tcPr>
          <w:p>
            <w:r/>
            <w:r>
              <w:rPr>
                <w:rFonts w:ascii="Calibri" w:hAnsi="Calibri" w:eastAsia="Calibri"/>
                <w:b/>
                <w:i w:val="0"/>
                <w:sz w:val="20"/>
              </w:rPr>
              <w:t>Инфраструктура доверия</w:t>
            </w:r>
          </w:p>
        </w:tc>
        <w:tc>
          <w:tcPr>
            <w:tcW w:type="dxa" w:w="2381"/>
          </w:tcPr>
          <w:p>
            <w:r/>
            <w:r>
              <w:rPr>
                <w:rFonts w:ascii="Calibri" w:hAnsi="Calibri" w:eastAsia="Calibri"/>
                <w:b w:val="0"/>
                <w:i w:val="0"/>
                <w:sz w:val="20"/>
              </w:rPr>
              <w:t>QTSP; презумпция надёжности не распространяется на AES/SES автоматически</w:t>
            </w:r>
          </w:p>
        </w:tc>
        <w:tc>
          <w:tcPr>
            <w:tcW w:type="dxa" w:w="2381"/>
          </w:tcPr>
          <w:p>
            <w:r/>
            <w:r>
              <w:rPr>
                <w:rFonts w:ascii="Calibri" w:hAnsi="Calibri" w:eastAsia="Calibri"/>
                <w:b w:val="0"/>
                <w:i w:val="0"/>
                <w:sz w:val="20"/>
              </w:rPr>
              <w:t>Аккредитованные УЦ, операторы ЭДО, УЦ ФНС</w:t>
            </w:r>
          </w:p>
        </w:tc>
        <w:tc>
          <w:tcPr>
            <w:tcW w:type="dxa" w:w="2381"/>
          </w:tcPr>
          <w:p>
            <w:r/>
            <w:hyperlink r:id="rId9">
              <w:r>
                <w:rPr>
                  <w:color w:val="0563C1"/>
                  <w:u w:val="single"/>
                  <w:sz w:val="18"/>
                  <w:rFonts w:ascii="Calibri" w:hAnsi="Calibri"/>
                </w:rPr>
                <w:t xml:space="preserve">Cass. 3e civ., 5 mars 2026, n° 24‑21.034 (Legalis)</w:t>
              </w:r>
            </w:hyperlink>
          </w:p>
        </w:tc>
      </w:tr>
      <w:tr>
        <w:tc>
          <w:tcPr>
            <w:tcW w:type="dxa" w:w="2381"/>
          </w:tcPr>
          <w:p>
            <w:r/>
            <w:r>
              <w:rPr>
                <w:rFonts w:ascii="Calibri" w:hAnsi="Calibri" w:eastAsia="Calibri"/>
                <w:b/>
                <w:i w:val="0"/>
                <w:sz w:val="20"/>
              </w:rPr>
              <w:t>Трансграничность</w:t>
            </w:r>
          </w:p>
        </w:tc>
        <w:tc>
          <w:tcPr>
            <w:tcW w:type="dxa" w:w="2381"/>
          </w:tcPr>
          <w:p>
            <w:r/>
            <w:r>
              <w:rPr>
                <w:rFonts w:ascii="Calibri" w:hAnsi="Calibri" w:eastAsia="Calibri"/>
                <w:b w:val="0"/>
                <w:i w:val="0"/>
                <w:sz w:val="20"/>
              </w:rPr>
              <w:t>QES в ЕС; MLETR — торговые передаваемые записи</w:t>
            </w:r>
          </w:p>
        </w:tc>
        <w:tc>
          <w:tcPr>
            <w:tcW w:type="dxa" w:w="2381"/>
          </w:tcPr>
          <w:p>
            <w:r/>
            <w:r>
              <w:rPr>
                <w:rFonts w:ascii="Calibri" w:hAnsi="Calibri" w:eastAsia="Calibri"/>
                <w:b w:val="0"/>
                <w:i w:val="0"/>
                <w:sz w:val="20"/>
              </w:rPr>
              <w:t>Ст. 7 63‑ФЗ, договоры, ДТС ЕАЭС; 315‑ФЗ — УКЭП международных организаций</w:t>
            </w:r>
          </w:p>
        </w:tc>
        <w:tc>
          <w:tcPr>
            <w:tcW w:type="dxa" w:w="2381"/>
          </w:tcPr>
          <w:p>
            <w:r/>
            <w:hyperlink r:id="rId13">
              <w:r>
                <w:rPr>
                  <w:color w:val="0563C1"/>
                  <w:u w:val="single"/>
                  <w:sz w:val="18"/>
                  <w:rFonts w:ascii="Calibri" w:hAnsi="Calibri"/>
                </w:rPr>
                <w:t xml:space="preserve">Ст. 7 63‑ФЗ — признание иностранных электронных подписей</w:t>
              </w:r>
            </w:hyperlink>
          </w:p>
        </w:tc>
      </w:tr>
    </w:tbl>
    <w:p/>
    <w:p>
      <w:pPr>
        <w:pStyle w:val="ListBullet"/>
      </w:pPr>
      <w:r>
        <w:rPr>
          <w:rFonts w:ascii="Calibri" w:hAnsi="Calibri" w:eastAsia="Calibri"/>
          <w:b w:val="0"/>
          <w:i w:val="0"/>
          <w:sz w:val="24"/>
        </w:rPr>
        <w:t>Сходство с РФ: квалифицированная подпись даёт максимальные гарантии (УКЭП / QES).</w:t>
      </w:r>
    </w:p>
    <w:p>
      <w:pPr>
        <w:pStyle w:val="ListBullet"/>
      </w:pPr>
      <w:r>
        <w:rPr>
          <w:rFonts w:ascii="Calibri" w:hAnsi="Calibri" w:eastAsia="Calibri"/>
          <w:b w:val="0"/>
          <w:i w:val="0"/>
          <w:sz w:val="24"/>
        </w:rPr>
        <w:t>Отличие: Франция статутно сузила презумпцию только до QES; в РФ ПЭП тоже работает, если согласована.</w:t>
      </w:r>
    </w:p>
    <w:p>
      <w:pPr>
        <w:pStyle w:val="ListBullet"/>
      </w:pPr>
      <w:r>
        <w:rPr>
          <w:rFonts w:ascii="Calibri" w:hAnsi="Calibri" w:eastAsia="Calibri"/>
          <w:b w:val="0"/>
          <w:i w:val="0"/>
          <w:sz w:val="24"/>
        </w:rPr>
        <w:t>Отличие: Cass. 2026 прямо бьёт по практике «сертификат провайдера = презумпция» без проверки qualified‑статуса.</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r>
        <w:rPr>
          <w:rFonts w:ascii="Calibri" w:hAnsi="Calibri" w:eastAsia="Calibri"/>
          <w:b w:val="0"/>
          <w:i w:val="0"/>
          <w:color w:val="535353"/>
          <w:sz w:val="18"/>
        </w:rPr>
        <w:t xml:space="preserve">  ·  </w:t>
      </w:r>
      <w:hyperlink r:id="rId13">
        <w:r>
          <w:rPr>
            <w:color w:val="0563C1"/>
            <w:u w:val="single"/>
            <w:sz w:val="18"/>
            <w:rFonts w:ascii="Calibri" w:hAnsi="Calibri"/>
          </w:rPr>
          <w:t xml:space="preserve">ФЗ от 06.04.2011 № 63‑ФЗ «Об электронной подписи»</w:t>
        </w:r>
      </w:hyperlink>
      <w:r>
        <w:rPr>
          <w:rFonts w:ascii="Calibri" w:hAnsi="Calibri" w:eastAsia="Calibri"/>
          <w:b w:val="0"/>
          <w:i w:val="0"/>
          <w:color w:val="535353"/>
          <w:sz w:val="18"/>
        </w:rPr>
        <w:t xml:space="preserve">  ·  </w:t>
      </w:r>
      <w:hyperlink r:id="rId14">
        <w:r>
          <w:rPr>
            <w:color w:val="0563C1"/>
            <w:u w:val="single"/>
            <w:sz w:val="18"/>
            <w:rFonts w:ascii="Calibri" w:hAnsi="Calibri"/>
          </w:rPr>
          <w:t xml:space="preserve">ТК РФ, ст. 22.1–22.3 (кадровый ЭДО)</w:t>
        </w:r>
      </w:hyperlink>
    </w:p>
    <w:p>
      <w:pPr>
        <w:pStyle w:val="Heading1"/>
      </w:pPr>
      <w:r>
        <w:t>5. Что из этой практики можно добавить в РФ</w:t>
      </w:r>
    </w:p>
    <w:p>
      <w:pPr>
        <w:pStyle w:val="ListBullet"/>
      </w:pPr>
      <w:r>
        <w:rPr>
          <w:rFonts w:ascii="Calibri" w:hAnsi="Calibri" w:eastAsia="Calibri"/>
          <w:b w:val="0"/>
          <w:i w:val="0"/>
          <w:sz w:val="24"/>
        </w:rPr>
        <w:t>Зафиксировать, что презумпция целостности/авторства для «простой» ЭП не действует автоматически — как 24‑21.034.</w:t>
      </w:r>
    </w:p>
    <w:p>
      <w:pPr>
        <w:pStyle w:val="ListBullet"/>
      </w:pPr>
      <w:r>
        <w:rPr>
          <w:rFonts w:ascii="Calibri" w:hAnsi="Calibri" w:eastAsia="Calibri"/>
          <w:b w:val="0"/>
          <w:i w:val="0"/>
          <w:sz w:val="24"/>
        </w:rPr>
        <w:t>Прямо сказать в разъяснениях, что скан подписи не есть ПЭП/УНЭП/УКЭП.</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r>
        <w:rPr>
          <w:rFonts w:ascii="Calibri" w:hAnsi="Calibri" w:eastAsia="Calibri"/>
          <w:b w:val="0"/>
          <w:i w:val="0"/>
          <w:color w:val="535353"/>
          <w:sz w:val="18"/>
        </w:rPr>
        <w:t xml:space="preserve">  ·  </w:t>
      </w:r>
      <w:hyperlink r:id="rId14">
        <w:r>
          <w:rPr>
            <w:color w:val="0563C1"/>
            <w:u w:val="single"/>
            <w:sz w:val="18"/>
            <w:rFonts w:ascii="Calibri" w:hAnsi="Calibri"/>
          </w:rPr>
          <w:t xml:space="preserve">ТК РФ, ст. 22.1–22.3 (кадровый ЭДО)</w:t>
        </w:r>
      </w:hyperlink>
    </w:p>
    <w:p>
      <w:pPr>
        <w:pStyle w:val="Heading1"/>
      </w:pPr>
      <w:r>
        <w:t>6. Что не стоит заимствовать / лучше не ужесточать</w:t>
      </w:r>
    </w:p>
    <w:p>
      <w:pPr>
        <w:pStyle w:val="ListBullet"/>
      </w:pPr>
      <w:r>
        <w:rPr>
          <w:rFonts w:ascii="Calibri" w:hAnsi="Calibri" w:eastAsia="Calibri"/>
          <w:b w:val="0"/>
          <w:i w:val="0"/>
          <w:sz w:val="24"/>
        </w:rPr>
        <w:t>Не делать УКЭП обязательной для всех документов только потому, что во Франции презумпция у QES: SES/AES там тоже законны, просто без презумпции.</w:t>
      </w:r>
    </w:p>
    <w:p>
      <w:pPr>
        <w:spacing w:before="0" w:after="200"/>
      </w:pPr>
      <w:r>
        <w:rPr>
          <w:rFonts w:ascii="Calibri" w:hAnsi="Calibri" w:eastAsia="Calibri"/>
          <w:b w:val="0"/>
          <w:i/>
          <w:color w:val="535353"/>
          <w:sz w:val="18"/>
        </w:rPr>
        <w:t xml:space="preserve">Проверить: </w:t>
      </w:r>
      <w:hyperlink r:id="rId9">
        <w:r>
          <w:rPr>
            <w:color w:val="0563C1"/>
            <w:u w:val="single"/>
            <w:sz w:val="18"/>
            <w:rFonts w:ascii="Calibri" w:hAnsi="Calibri"/>
          </w:rPr>
          <w:t xml:space="preserve">Cass. 3e civ., 5 mars 2026, n° 24‑21.034 (Legalis)</w:t>
        </w:r>
      </w:hyperlink>
      <w:r>
        <w:rPr>
          <w:rFonts w:ascii="Calibri" w:hAnsi="Calibri" w:eastAsia="Calibri"/>
          <w:b w:val="0"/>
          <w:i w:val="0"/>
          <w:color w:val="535353"/>
          <w:sz w:val="18"/>
        </w:rPr>
        <w:t xml:space="preserve">  ·  </w:t>
      </w:r>
      <w:hyperlink r:id="rId10">
        <w:r>
          <w:rPr>
            <w:color w:val="0563C1"/>
            <w:u w:val="single"/>
            <w:sz w:val="18"/>
            <w:rFonts w:ascii="Calibri" w:hAnsi="Calibri"/>
          </w:rPr>
          <w:t xml:space="preserve">Code civil, art. 1366 (Légifrance)</w:t>
        </w:r>
      </w:hyperlink>
      <w:r>
        <w:rPr>
          <w:rFonts w:ascii="Calibri" w:hAnsi="Calibri" w:eastAsia="Calibri"/>
          <w:b w:val="0"/>
          <w:i w:val="0"/>
          <w:color w:val="535353"/>
          <w:sz w:val="18"/>
        </w:rPr>
        <w:t xml:space="preserve">  ·  </w:t>
      </w:r>
      <w:hyperlink r:id="rId11">
        <w:r>
          <w:rPr>
            <w:color w:val="0563C1"/>
            <w:u w:val="single"/>
            <w:sz w:val="18"/>
            <w:rFonts w:ascii="Calibri" w:hAnsi="Calibri"/>
          </w:rPr>
          <w:t xml:space="preserve">Code civil, art. 1367 (Légifrance)</w:t>
        </w:r>
      </w:hyperlink>
      <w:r>
        <w:rPr>
          <w:rFonts w:ascii="Calibri" w:hAnsi="Calibri" w:eastAsia="Calibri"/>
          <w:b w:val="0"/>
          <w:i w:val="0"/>
          <w:color w:val="535353"/>
          <w:sz w:val="18"/>
        </w:rPr>
        <w:t xml:space="preserve">  ·  </w:t>
      </w:r>
      <w:hyperlink r:id="rId12">
        <w:r>
          <w:rPr>
            <w:color w:val="0563C1"/>
            <w:u w:val="single"/>
            <w:sz w:val="18"/>
            <w:rFonts w:ascii="Calibri" w:hAnsi="Calibri"/>
          </w:rPr>
          <w:t xml:space="preserve">Décret 2017‑1416</w:t>
        </w:r>
      </w:hyperlink>
    </w:p>
    <w:p>
      <w:pPr>
        <w:pStyle w:val="Heading1"/>
      </w:pPr>
      <w:r>
        <w:t>7. Источники</w:t>
      </w:r>
    </w:p>
    <w:p>
      <w:pPr>
        <w:pStyle w:val="ListBullet"/>
      </w:pPr>
      <w:r>
        <w:rPr>
          <w:rFonts w:ascii="Calibri" w:hAnsi="Calibri" w:eastAsia="Calibri"/>
          <w:b w:val="0"/>
          <w:i w:val="0"/>
          <w:sz w:val="22"/>
        </w:rPr>
        <w:t xml:space="preserve">Cass. 3e civ., 5 mars 2026, n° 24‑21.034 (Legalis): </w:t>
      </w:r>
      <w:hyperlink r:id="rId9">
        <w:r>
          <w:rPr>
            <w:color w:val="0563C1"/>
            <w:u w:val="single"/>
            <w:sz w:val="22"/>
            <w:rFonts w:ascii="Calibri" w:hAnsi="Calibri"/>
          </w:rPr>
          <w:t xml:space="preserve">https://www.legalis.net/jurisprudences/cour-de-cassation-civile-ch-civile-3-arret-du-5-mars-2026/</w:t>
        </w:r>
      </w:hyperlink>
    </w:p>
    <w:p>
      <w:pPr>
        <w:pStyle w:val="ListBullet"/>
      </w:pPr>
      <w:r>
        <w:rPr>
          <w:rFonts w:ascii="Calibri" w:hAnsi="Calibri" w:eastAsia="Calibri"/>
          <w:b w:val="0"/>
          <w:i w:val="0"/>
          <w:sz w:val="22"/>
        </w:rPr>
        <w:t xml:space="preserve">Code civil, art. 1366 (Légifrance): </w:t>
      </w:r>
      <w:hyperlink r:id="rId10">
        <w:r>
          <w:rPr>
            <w:color w:val="0563C1"/>
            <w:u w:val="single"/>
            <w:sz w:val="22"/>
            <w:rFonts w:ascii="Calibri" w:hAnsi="Calibri"/>
          </w:rPr>
          <w:t xml:space="preserve">https://www.legifrance.gouv.fr/codes/article_lc/LEGIARTI000032042219</w:t>
        </w:r>
      </w:hyperlink>
    </w:p>
    <w:p>
      <w:pPr>
        <w:pStyle w:val="ListBullet"/>
      </w:pPr>
      <w:r>
        <w:rPr>
          <w:rFonts w:ascii="Calibri" w:hAnsi="Calibri" w:eastAsia="Calibri"/>
          <w:b w:val="0"/>
          <w:i w:val="0"/>
          <w:sz w:val="22"/>
        </w:rPr>
        <w:t xml:space="preserve">Code civil, art. 1367 (Légifrance): </w:t>
      </w:r>
      <w:hyperlink r:id="rId11">
        <w:r>
          <w:rPr>
            <w:color w:val="0563C1"/>
            <w:u w:val="single"/>
            <w:sz w:val="22"/>
            <w:rFonts w:ascii="Calibri" w:hAnsi="Calibri"/>
          </w:rPr>
          <w:t xml:space="preserve">https://www.legifrance.gouv.fr/codes/article_lc/LEGIARTI000032042224</w:t>
        </w:r>
      </w:hyperlink>
    </w:p>
    <w:p>
      <w:pPr>
        <w:pStyle w:val="ListBullet"/>
      </w:pPr>
      <w:r>
        <w:rPr>
          <w:rFonts w:ascii="Calibri" w:hAnsi="Calibri" w:eastAsia="Calibri"/>
          <w:b w:val="0"/>
          <w:i w:val="0"/>
          <w:sz w:val="22"/>
        </w:rPr>
        <w:t xml:space="preserve">Décret 2017‑1416: </w:t>
      </w:r>
      <w:hyperlink r:id="rId12">
        <w:r>
          <w:rPr>
            <w:color w:val="0563C1"/>
            <w:u w:val="single"/>
            <w:sz w:val="22"/>
            <w:rFonts w:ascii="Calibri" w:hAnsi="Calibri"/>
          </w:rPr>
          <w:t xml:space="preserve">https://www.legifrance.gouv.fr/loda/id/JORFTEXT000035638541/</w:t>
        </w:r>
      </w:hyperlink>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alis.net/jurisprudences/cour-de-cassation-civile-ch-civile-3-arret-du-5-mars-2026/" TargetMode="External"/><Relationship Id="rId10" Type="http://schemas.openxmlformats.org/officeDocument/2006/relationships/hyperlink" Target="https://www.legifrance.gouv.fr/codes/article_lc/LEGIARTI000032042219" TargetMode="External"/><Relationship Id="rId11" Type="http://schemas.openxmlformats.org/officeDocument/2006/relationships/hyperlink" Target="https://www.legifrance.gouv.fr/codes/article_lc/LEGIARTI000032042224" TargetMode="External"/><Relationship Id="rId12" Type="http://schemas.openxmlformats.org/officeDocument/2006/relationships/hyperlink" Target="https://www.legifrance.gouv.fr/loda/id/JORFTEXT000035638541/" TargetMode="External"/><Relationship Id="rId13" Type="http://schemas.openxmlformats.org/officeDocument/2006/relationships/hyperlink" Target="https://www.consultant.ru/document/cons_doc_LAW_112701/" TargetMode="External"/><Relationship Id="rId14" Type="http://schemas.openxmlformats.org/officeDocument/2006/relationships/hyperlink" Target="https://www.consultant.ru/document/cons_doc_LAW_34683/" TargetMode="External"/><Relationship Id="rId15" Type="http://schemas.openxmlformats.org/officeDocument/2006/relationships/hyperlink" Target="http://kremlin.ru/acts/news/80444" TargetMode="External"/><Relationship Id="rId16" Type="http://schemas.openxmlformats.org/officeDocument/2006/relationships/hyperlink" Target="https://docs.eaeunion.org/documents/414/7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