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i w:val="0"/>
          <w:color w:val="1F4E79"/>
          <w:sz w:val="44"/>
        </w:rPr>
        <w:t>ЭДО в охране труда: Испания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535353"/>
          <w:sz w:val="26"/>
        </w:rPr>
        <w:t>Электронные документы обучения, инструктажа, учёта НС. Сравнение с РФ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spacing w:after="240"/>
      </w:pPr>
      <w:r>
        <w:rPr>
          <w:rFonts w:ascii="Calibri" w:hAnsi="Calibri" w:eastAsia="Calibri"/>
          <w:b w:val="0"/>
          <w:i/>
          <w:color w:val="535353"/>
          <w:sz w:val="20"/>
        </w:rPr>
        <w:t>Как проверить. После каждого блока фактов — строка «Проверить» с кликабельной ссылкой на официальный текст закона, судебное решение или первоисточник. Рекомендации («что добавить / не переносить») — выводы автора НИР, но рядом указаны нормы, на которые они опираются. Номера дел не вымышлены.</w:t>
      </w:r>
    </w:p>
    <w:p>
      <w:pPr>
        <w:pStyle w:val="Heading1"/>
      </w:pPr>
      <w:r>
        <w:t>1. Регулирование ЭДО в охране труда</w:t>
      </w:r>
    </w:p>
    <w:p>
      <w:r>
        <w:rPr>
          <w:rFonts w:ascii="Calibri" w:hAnsi="Calibri" w:eastAsia="Calibri"/>
          <w:b w:val="0"/>
          <w:i w:val="0"/>
          <w:sz w:val="24"/>
        </w:rPr>
        <w:t>Основные акты: Ley 31/1995 de Prevención de Riesgos Laborales (LPRL), особенно art. 19 (formación); Estatuto de los Trabajadores art. 8; eIDAS / Ley 6/2020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LPRL 31/1995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Estatuto de los Trabajadores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LEX/AHK: ЭП в трудовых документах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LPRL 31/1995 обязывает работодателя обеспечить теоретическое и практическое обучение, достаточное и адекватное рискам (art. 19). Это содержательная обязанность. Отдельного «запрета электронного журнала» нет.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LPRL 31/1995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Estatuto de los Trabajadores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LEX/AHK: ЭП в трудовых документах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Трудовые договоры, которые закон требует оформлять письменно (ET art. 8), могут подписываться электронной подписью. Комментарии (в т.ч. LEX/AHK, Dirección General de Empleo) подчёркивают: признанная ЭП — не скан картинки подписи. Для охраны труда тот же стандарт: «вставил PNG подписи в PDF» ≠ доказательство прохождения инструктажа.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LPRL 31/1995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Estatuto de los Trabajadores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LEX/AHK: ЭП в трудовых документах</w:t>
        </w:r>
      </w:hyperlink>
    </w:p>
    <w:p>
      <w:r>
        <w:rPr>
          <w:rFonts w:ascii="Calibri" w:hAnsi="Calibri" w:eastAsia="Calibri"/>
          <w:b w:val="0"/>
          <w:i w:val="0"/>
          <w:sz w:val="24"/>
        </w:rPr>
        <w:t>Если работодатель ведёт электронный учёт обучения через квалифицированный сервис доверия, в гражданском/трудовом процессе он получает презумпцию LEC 326.4. Если это LMS‑логи без квалифицированной услуги — суд оценит их как любые электронные документы, вплоть до pantallazos, без презумпции.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LPRL 31/1995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Estatuto de los Trabajadores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LEX/AHK: ЭП в трудовых документах</w:t>
        </w:r>
      </w:hyperlink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Нет аналога ст. 22.1(3) ТК.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Art. 19 LPRL = доказать факт и адекватность обучения, не «прошнурованный журнал».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QES/квалифицированный сервис резко усиливает позицию работодателя при оспаривании записи.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LPRL 31/1995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Estatuto de los Trabajadores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LEX/AHK: ЭП в трудовых документах</w:t>
        </w:r>
      </w:hyperlink>
    </w:p>
    <w:p>
      <w:pPr>
        <w:pStyle w:val="Heading1"/>
      </w:pPr>
      <w:r>
        <w:t>3. База для сравнения: ЭДО в ОТ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Кадровый ЭДО — ст. 22.1–22.3 ТК РФ: согласие работника, виды ЭП, исключения.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Ч. 3 ст. 22.1 ТК РФ прямо исключает из кадрового ЭДО документы о прохождении работником инструктажа по охране труда и акты о несчастном случае на производстве.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Обучение / инструктажи по ОТ — постановление Правительства РФ от 24.12.2021 № 2464; на практике журналы инструктажей ведутся на бумаге именно из‑за исключения ст. 22.1(3).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Юридическая сила электронной подписи — 63‑ФЗ (ПЭП / УНЭП / УКЭП). Для кадровых документов с 2022 г. — ст. 22.2–22.3 ТК.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ТК РФ, ст. 22.1 ч. 3 (исключения из кадрового ЭДО):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ПП РФ от 24.12.2021 № 2464 (обучение по охране труда):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https://www.consultant.ru/document/cons_doc_LAW_405146/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ФЗ от 06.04.2011 № 63‑ФЗ «Об электронной подписи»: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Heading1"/>
      </w:pPr>
      <w:r>
        <w:t>4. Сравнение с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Испания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Российская Федерация</w:t>
            </w:r>
          </w:p>
        </w:tc>
        <w:tc>
          <w:tcPr>
            <w:tcW w:type="dxa" w:w="2381"/>
            <w:shd w:fill="1F4E79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Проверить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Юридическая сила записей ОТ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Нет запрета ЕС/Испании на электронный учёт обучения по ОТ. Электронная подпись трудовых документов допустима, если обеспечены идентичность и целостность; QES даёт максимальную гарантию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Журналы инструктажей и акты НС исключены из кадрового ЭДО (ст. 22.1 ч. 3 ТК РФ)</w:t>
            </w:r>
          </w:p>
        </w:tc>
        <w:tc>
          <w:tcPr>
            <w:tcW w:type="dxa" w:w="2381"/>
          </w:tcPr>
          <w:p>
            <w:r/>
            <w:hyperlink r:id="rId9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LPRL 31/1995 (BOE)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Подпись / форма журнала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Для трудовых договоров на практике рекомендуют AES/QES; скан подписи комментарии DGE считают недопустимым. К журналам обучения закон не требует QES, но LEC 326.4 выгоден, если запись сделана через квалифицированный сервис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На практике — бумажный журнал; КЭДО на эти документы не распространяется</w:t>
            </w:r>
          </w:p>
        </w:tc>
        <w:tc>
          <w:tcPr>
            <w:tcW w:type="dxa" w:w="2381"/>
          </w:tcPr>
          <w:p>
            <w:r/>
            <w:hyperlink r:id="rId12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ТК РФ, ст. 22.1 ч. 3 (исключения из кадрового ЭДО)</w:t>
              </w:r>
            </w:hyperlink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Доверие / система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QTSP либо внутренняя система + свободная оценка; при квалифицированном сервисе — презумпция 326.4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Бумажный журнал + ПП 2464; операторы КЭДО — для иных кадровых документов</w:t>
            </w:r>
          </w:p>
        </w:tc>
        <w:tc>
          <w:tcPr>
            <w:tcW w:type="dxa" w:w="2381"/>
          </w:tcPr>
          <w:p>
            <w:r/>
            <w:hyperlink r:id="rId13">
              <w:r>
                <w:rPr>
                  <w:color w:val="0563C1"/>
                  <w:u w:val="single"/>
                  <w:sz w:val="18"/>
                  <w:rFonts w:ascii="Calibri" w:hAnsi="Calibri"/>
                </w:rPr>
                <w:t xml:space="preserve">ПП РФ от 24.12.2021 № 2464 (обучение по охране труда)</w:t>
              </w:r>
            </w:hyperlink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Сходство: работодатель несёт бремя доказать обучение.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Отличие: Испания не выводит обучение ОТ из ЭДО законом.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Отличие от Франции: презумпция привязана к квалифицированному сервису в процессе (LEC), а не только к QES в ГК.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LPRL 31/1995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Estatuto de los Trabajadores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LEX/AHK: ЭП в трудовых документах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Heading1"/>
      </w:pPr>
      <w:r>
        <w:t>5. Что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Связать электронный журнал ОТ с квалифицированной меткой времени / УКЭП ответственного лица, чтобы получить эффект, близкий к LEC 326.4.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LPRL 31/1995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Estatuto de los Trabajadores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LEX/AHK: ЭП в трудовых документах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2">
        <w:r>
          <w:rPr>
            <w:color w:val="0563C1"/>
            <w:u w:val="single"/>
            <w:sz w:val="18"/>
            <w:rFonts w:ascii="Calibri" w:hAnsi="Calibri"/>
          </w:rPr>
          <w:t xml:space="preserve">ТК РФ, ст. 22.1 ч. 3 (исключения из кадрового ЭДО)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3">
        <w:r>
          <w:rPr>
            <w:color w:val="0563C1"/>
            <w:u w:val="single"/>
            <w:sz w:val="18"/>
            <w:rFonts w:ascii="Calibri" w:hAnsi="Calibri"/>
          </w:rPr>
          <w:t xml:space="preserve">ПП РФ от 24.12.2021 № 2464 (обучение по охране труда)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4">
        <w:r>
          <w:rPr>
            <w:color w:val="0563C1"/>
            <w:u w:val="single"/>
            <w:sz w:val="18"/>
            <w:rFonts w:ascii="Calibri" w:hAnsi="Calibri"/>
          </w:rPr>
          <w:t xml:space="preserve">ФЗ от 06.04.2011 № 63‑ФЗ «Об электронной подписи»</w:t>
        </w:r>
      </w:hyperlink>
    </w:p>
    <w:p>
      <w:pPr>
        <w:pStyle w:val="Heading1"/>
      </w:pPr>
      <w:r>
        <w:t>6. Что не стоит переносить механически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4"/>
        </w:rPr>
        <w:t>Не считать испанскую мягкость к WhatsApp индульгенцией для «клик‑журналов» без идентификации.</w:t>
      </w:r>
    </w:p>
    <w:p>
      <w:pPr>
        <w:spacing w:before="0" w:after="200"/>
      </w:pPr>
      <w:r>
        <w:rPr>
          <w:rFonts w:ascii="Calibri" w:hAnsi="Calibri" w:eastAsia="Calibri"/>
          <w:b w:val="0"/>
          <w:i/>
          <w:color w:val="535353"/>
          <w:sz w:val="18"/>
        </w:rPr>
        <w:t xml:space="preserve">Проверить: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LPRL 31/1995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Estatuto de los Trabajadores (BOE)</w:t>
        </w:r>
      </w:hyperlink>
      <w:r>
        <w:rPr>
          <w:rFonts w:ascii="Calibri" w:hAnsi="Calibri" w:eastAsia="Calibri"/>
          <w:b w:val="0"/>
          <w:i w:val="0"/>
          <w:color w:val="535353"/>
          <w:sz w:val="18"/>
        </w:rPr>
        <w:t xml:space="preserve">  ·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LEX/AHK: ЭП в трудовых документах</w:t>
        </w:r>
      </w:hyperlink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LPRL 31/1995 (BOE):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https://www.boe.es/buscar/act.php?id=BOE-A-1995-24292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Estatuto de los Trabajadores (BOE):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https://www.boe.es/buscar/act.php?id=BOE-A-2015-11430</w:t>
        </w:r>
      </w:hyperlink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 xml:space="preserve">LEX/AHK: ЭП в трудовых документах: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https://lex.ahk.es/actualidad-juridica/puede-la-empresa-emplear-la-firma-electronica-en-el-ambito-laboral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oe.es/buscar/act.php?id=BOE-A-1995-24292" TargetMode="External"/><Relationship Id="rId10" Type="http://schemas.openxmlformats.org/officeDocument/2006/relationships/hyperlink" Target="https://www.boe.es/buscar/act.php?id=BOE-A-2015-11430" TargetMode="External"/><Relationship Id="rId11" Type="http://schemas.openxmlformats.org/officeDocument/2006/relationships/hyperlink" Target="https://lex.ahk.es/actualidad-juridica/puede-la-empresa-emplear-la-firma-electronica-en-el-ambito-laboral" TargetMode="External"/><Relationship Id="rId12" Type="http://schemas.openxmlformats.org/officeDocument/2006/relationships/hyperlink" Target="https://www.consultant.ru/document/cons_doc_LAW_34683/" TargetMode="External"/><Relationship Id="rId13" Type="http://schemas.openxmlformats.org/officeDocument/2006/relationships/hyperlink" Target="https://www.consultant.ru/document/cons_doc_LAW_405146/" TargetMode="External"/><Relationship Id="rId14" Type="http://schemas.openxmlformats.org/officeDocument/2006/relationships/hyperlink" Target="https://www.consultant.ru/document/cons_doc_LAW_1127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