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Сравнение судебных практик семи стран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По каждому государству: практика об ЭДО в целом и практика об ЭДО / доказывании в охране труда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pPr>
        <w:pStyle w:val="Heading1"/>
      </w:pPr>
      <w:r>
        <w:t>1. Метод и оговорка</w:t>
      </w:r>
    </w:p>
    <w:p>
      <w:r>
        <w:rPr>
          <w:rFonts w:ascii="Calibri" w:hAnsi="Calibri" w:eastAsia="Calibri"/>
          <w:b w:val="0"/>
          <w:i w:val="0"/>
          <w:sz w:val="24"/>
        </w:rPr>
        <w:t>По каждому государству собраны две карточки. Первая — про электронный документ / подпись / допустимость в суде. Вторая — про охрану труда. Отдельных опубликованных решений «электронный журнал инструктажа ничтожен / действителен» почти нет (кроме нормативной легализации в Беларуси и нормативного запрета Form 6 в Сербии). Где прямого дела нет, карточка помечена как аналогия: ближайшее реальное дело о содержании обучения / бремени мер / форме подписи. Номера дел не вымышлены.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Инструкция № 175, актуальный PDF Минтруда (п. 35)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Закон о БЗР РС 35/2023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2. Сводная таблица 14 практик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c>
          <w:tcPr>
            <w:tcW w:type="dxa" w:w="1587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Страна</w:t>
            </w:r>
          </w:p>
        </w:tc>
        <w:tc>
          <w:tcPr>
            <w:tcW w:type="dxa" w:w="1587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Срез</w:t>
            </w:r>
          </w:p>
        </w:tc>
        <w:tc>
          <w:tcPr>
            <w:tcW w:type="dxa" w:w="1587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Тип</w:t>
            </w:r>
          </w:p>
        </w:tc>
        <w:tc>
          <w:tcPr>
            <w:tcW w:type="dxa" w:w="1587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Цитата</w:t>
            </w:r>
          </w:p>
        </w:tc>
        <w:tc>
          <w:tcPr>
            <w:tcW w:type="dxa" w:w="1587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Сюжет</w:t>
            </w:r>
          </w:p>
        </w:tc>
        <w:tc>
          <w:tcPr>
            <w:tcW w:type="dxa" w:w="1587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Проверить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Германия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ЭДО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BGH, Urteil vom 27.11.2024 — VIII ZR 155/23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Zugang волеизъявления, подписанного квалифицированной электронной подписью</w:t>
            </w:r>
          </w:p>
        </w:tc>
        <w:tc>
          <w:tcPr>
            <w:tcW w:type="dxa" w:w="1587"/>
          </w:tcPr>
          <w:p>
            <w:r/>
            <w:hyperlink r:id="rId1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Официальный PDF BGH VIII ZR 155/23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Германия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BAG, Beschluss vom 11.01.2011 — 1 ABR 104/09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Инструктаж по § 12 ArbSchG должен опираться на оценку рисков (§ 5) — содержание важнее формы</w:t>
            </w:r>
          </w:p>
        </w:tc>
        <w:tc>
          <w:tcPr>
            <w:tcW w:type="dxa" w:w="1587"/>
          </w:tcPr>
          <w:p>
            <w:r/>
            <w:hyperlink r:id="rId13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BAG 1 ABR 104/09, официальная страница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Беларусь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ЭДО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Ст. 84 ХПК РБ; ст. 22 Закона № 113‑З; обзор практики использования электронных документов в договорных отношениях (в т.ч. материал 16.10.2017)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Электронный документ с ЭЦП — письменное доказательство, равное бумажному</w:t>
            </w:r>
          </w:p>
        </w:tc>
        <w:tc>
          <w:tcPr>
            <w:tcW w:type="dxa" w:w="1587"/>
          </w:tcPr>
          <w:p>
            <w:r/>
            <w:hyperlink r:id="rId14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Ст. 84 ХПК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Беларусь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П. 35 Инструкции № 175 + ст. 84 ХПК (аналогия: как суд принял бы электронный журнал)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электронный журнал инструктажа как электронный/письменный документ ОТ</w:t>
            </w:r>
          </w:p>
        </w:tc>
        <w:tc>
          <w:tcPr>
            <w:tcW w:type="dxa" w:w="1587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Инструкция № 175, п. 35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Сербия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ЭДО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Решение Конституционного суда (ноябрь 2023) о подаче жалобы e‑mail; Апелациони суд у Нишу, Gž 1664/20 от 16.09.2020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Электронный документ без QES для суда не подан / не подписан</w:t>
            </w:r>
          </w:p>
        </w:tc>
        <w:tc>
          <w:tcPr>
            <w:tcW w:type="dxa" w:w="1587"/>
          </w:tcPr>
          <w:p>
            <w:r/>
            <w:hyperlink r:id="rId15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PR Legal: Constitutional Court, XI.2023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Сербия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Правилник Сл. гласник РС 5/2025 + аналогия Gž 1664/20 (QES как условие действительности электронного акта)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электронный учёт ОТ действителен только с QES; учёт обучения (Form 6) — бумага</w:t>
            </w:r>
          </w:p>
        </w:tc>
        <w:tc>
          <w:tcPr>
            <w:tcW w:type="dxa" w:w="1587"/>
          </w:tcPr>
          <w:p>
            <w:r/>
            <w:hyperlink r:id="rId16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Lexology: Form 6 exception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Испания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ЭДО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STS 116/2025, 13.02.2025 (ECLI:ES:TS:2025:634); Ley 6/2020 → LEC art. 326.4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Два режима электронной доказательства: квалифицированный сервис (презумпция) и pantallazos (свободная оценка)</w:t>
            </w:r>
          </w:p>
        </w:tc>
        <w:tc>
          <w:tcPr>
            <w:tcW w:type="dxa" w:w="1587"/>
          </w:tcPr>
          <w:p>
            <w:r/>
            <w:hyperlink r:id="rId17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Ley 6/2020 / LEC 326.4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Испания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LPRL art. 19 + режим LEC 326.4 / eIDAS для трудовых электронных документов (аналогия)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обучение по art. 19 LPRL доказывается по общим правилам электронных документов, запрета e‑журнала нет</w:t>
            </w:r>
          </w:p>
        </w:tc>
        <w:tc>
          <w:tcPr>
            <w:tcW w:type="dxa" w:w="1587"/>
          </w:tcPr>
          <w:p>
            <w:r/>
            <w:hyperlink r:id="rId18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LPRL 31/1995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Ирландия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ЭДО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Ryanair Ltd v Billigfluege.de GmbH [2010] IEHC 47 (26 February 2010)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Электронные условия сайта образуют договор, если доведены до пользователя</w:t>
            </w:r>
          </w:p>
        </w:tc>
        <w:tc>
          <w:tcPr>
            <w:tcW w:type="dxa" w:w="1587"/>
          </w:tcPr>
          <w:p>
            <w:r/>
            <w:hyperlink r:id="rId1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BAILII: [2010] IEHC 47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Ирландия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Redmond v Tallaght University Hospital [2024] IEHC 167 (13 March 2024)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в споре по ОТ суд проверяет реальность и предметность обучения, а не форму журнала</w:t>
            </w:r>
          </w:p>
        </w:tc>
        <w:tc>
          <w:tcPr>
            <w:tcW w:type="dxa" w:w="1587"/>
          </w:tcPr>
          <w:p>
            <w:r/>
            <w:hyperlink r:id="rId20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[2024] IEHC 167 (BAILII)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Франция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ЭДО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Cass. civ. 3e, 5 mars 2026, n° 24‑21.034 (ECLI:FR:CCASS:2026:C300142)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Презумпция надёжности электронной подписи — только если это QES</w:t>
            </w:r>
          </w:p>
        </w:tc>
        <w:tc>
          <w:tcPr>
            <w:tcW w:type="dxa" w:w="1587"/>
          </w:tcPr>
          <w:p>
            <w:r/>
            <w:hyperlink r:id="rId21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Legalis: arrêt 5 mars 2026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Франция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Cass. soc., 28 février 2024, n° 22‑15.624; дополнительно Cass. soc., 14 décembre 2022, n° 21‑19.841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бремя мер безопасности на работодателе; скан подписи ≠ электронная подпись</w:t>
            </w:r>
          </w:p>
        </w:tc>
        <w:tc>
          <w:tcPr>
            <w:tcW w:type="dxa" w:w="1587"/>
          </w:tcPr>
          <w:p>
            <w:r/>
            <w:hyperlink r:id="rId2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22‑15.624, обзор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Кения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ЭДО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Dardanelli &amp; 6 others v Tilito &amp; 3 others (Land Case E041 of 2024) [2025] KEELC 392 (KLR) (6 February 2025)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Электронный аффидевит без сертификата s. 106B недопустим</w:t>
            </w:r>
          </w:p>
        </w:tc>
        <w:tc>
          <w:tcPr>
            <w:tcW w:type="dxa" w:w="1587"/>
          </w:tcPr>
          <w:p>
            <w:r/>
            <w:hyperlink r:id="rId23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Kenya Law: [2025] KEELC 392</w:t>
              </w:r>
            </w:hyperlink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Кения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ОТ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Bigot Flowers (Kenya) Ltd v Cheboswony [2022] KEELRC 3772 (KLR) (10 May 2022)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ответственность occupier за необучение (OSHA s. 99) — без спора о носителе журнала</w:t>
            </w:r>
          </w:p>
        </w:tc>
        <w:tc>
          <w:tcPr>
            <w:tcW w:type="dxa" w:w="1587"/>
          </w:tcPr>
          <w:p>
            <w:r/>
            <w:hyperlink r:id="rId24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[2022] KEELRC 3772 (PDF)</w:t>
              </w:r>
            </w:hyperlink>
          </w:p>
        </w:tc>
      </w:tr>
    </w:tbl>
    <w:p/>
    <w:p>
      <w:pPr>
        <w:pStyle w:val="Heading1"/>
      </w:pPr>
      <w:r>
        <w:t>3. Чем практики похожи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Суды везде отделяют «файл существует» от «файл допустим и доказывает нужный факт».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Квалифицированная / advanced подпись усиливает позицию, но не всегда достаточна: Германия требует проверяемый Zugang, Кения — сертификат 106B, Франция — именно QES для презумпции.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В срезе ОТ суды (DE, IE, FR, KE) проверяют, было ли обучение/инструктаж по конкретной опасности, а не «есть ли журнал».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Скан / pantallazos / клик без идентификации нигде не получают автоматической силы QES/ЭЦП.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Ни один суд не сформулировал правило «электронная форма инструктажа всегда ничтожна» — такого запрета в практике нет; запреты, где они есть, статутные (РФ, сербский Form 6).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Официальный PDF BGH VIII ZR 155/23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Ст. 84 ХПК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PR Legal: Constitutional Court, XI.2023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7">
        <w:r>
          <w:rPr>
            <w:color w:val="0563C1"/>
            <w:u w:val="single"/>
            <w:sz w:val="18"/>
            <w:rFonts w:ascii="Calibri" w:hAnsi="Calibri"/>
          </w:rPr>
          <w:t xml:space="preserve">Ley 6/2020 / LEC 326.4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9">
        <w:r>
          <w:rPr>
            <w:color w:val="0563C1"/>
            <w:u w:val="single"/>
            <w:sz w:val="18"/>
            <w:rFonts w:ascii="Calibri" w:hAnsi="Calibri"/>
          </w:rPr>
          <w:t xml:space="preserve">BAILII: [2010] IEHC 47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1">
        <w:r>
          <w:rPr>
            <w:color w:val="0563C1"/>
            <w:u w:val="single"/>
            <w:sz w:val="18"/>
            <w:rFonts w:ascii="Calibri" w:hAnsi="Calibri"/>
          </w:rPr>
          <w:t xml:space="preserve">Legalis: arrêt 5 mars 2026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3">
        <w:r>
          <w:rPr>
            <w:color w:val="0563C1"/>
            <w:u w:val="single"/>
            <w:sz w:val="18"/>
            <w:rFonts w:ascii="Calibri" w:hAnsi="Calibri"/>
          </w:rPr>
          <w:t xml:space="preserve">Kenya Law: [2025] KEELC 392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4. Чем различаются</w:t>
      </w:r>
    </w:p>
    <w:p>
      <w:r>
        <w:rPr>
          <w:rFonts w:ascii="Calibri" w:hAnsi="Calibri" w:eastAsia="Calibri"/>
          <w:b w:val="0"/>
          <w:i w:val="0"/>
          <w:sz w:val="24"/>
        </w:rPr>
        <w:t>Ось A — презумпция против свободной оценки. Испания (LEC 326.4) и Франция (только QES) стоят на презумпции, но по‑разному: Испания даёт её квалифицированному сервису и штрафует легкомысленное оспаривание; Франция в 2026 г. запретила презумпцию, пока не доказан qualified‑статус. Ирландия и (уголовная) Испания по WhatsApp ближе к свободной оценке. Кения формально имеет презумпции Evidence Act, но вход перекрыт 106B.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25">
        <w:r>
          <w:rPr>
            <w:color w:val="0563C1"/>
            <w:u w:val="single"/>
            <w:sz w:val="18"/>
            <w:rFonts w:ascii="Calibri" w:hAnsi="Calibri"/>
          </w:rPr>
          <w:t xml:space="preserve">LEC, art. 326 (BOE, текст кодекса)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1">
        <w:r>
          <w:rPr>
            <w:color w:val="0563C1"/>
            <w:u w:val="single"/>
            <w:sz w:val="18"/>
            <w:rFonts w:ascii="Calibri" w:hAnsi="Calibri"/>
          </w:rPr>
          <w:t xml:space="preserve">Cass. 3e civ., 5 mars 2026, n° 24‑21.034 (Legalis)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6">
        <w:r>
          <w:rPr>
            <w:color w:val="0563C1"/>
            <w:u w:val="single"/>
            <w:sz w:val="18"/>
            <w:rFonts w:ascii="Calibri" w:hAnsi="Calibri"/>
          </w:rPr>
          <w:t xml:space="preserve">Evidence Act Cap 80 (Kenya Law)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Ось B — канал подачи. Сербия (Конституционный суд 2023, Ниш Gž 1664/20) и Кения (KEELC 392) могут счесть электронный акт несуществующим из‑за канала/сертификата. Германия (BGH 155/23) бьёт не по каналу суда, а по возможности адресата проверить QES.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PR Legal: Constitutional Court, XI.2023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3">
        <w:r>
          <w:rPr>
            <w:color w:val="0563C1"/>
            <w:u w:val="single"/>
            <w:sz w:val="18"/>
            <w:rFonts w:ascii="Calibri" w:hAnsi="Calibri"/>
          </w:rPr>
          <w:t xml:space="preserve">Kenya Law: [2025] KEELC 392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Официальный PDF BGH VIII ZR 155/23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Ось C — охрана труда. Беларусь закрывает вопрос нормой (журнал можно), а не судом. Сербия закрывает вопрос нормой (Form 6 нельзя). Германия (BAG 104/09) и Ирландия (Redmond) закрывают вопрос содержанием обучения. Франция (22‑15.624) — бременем мер после НС. Кения (Bigot Flowers) — статутной обязанностью обучить по OSHA s. 99.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Инструкция № 175, актуальный PDF Минтруда (п. 35)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Закон о БЗР РС 35/2023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BAG 1 ABR 104/09, официальная страница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0">
        <w:r>
          <w:rPr>
            <w:color w:val="0563C1"/>
            <w:u w:val="single"/>
            <w:sz w:val="18"/>
            <w:rFonts w:ascii="Calibri" w:hAnsi="Calibri"/>
          </w:rPr>
          <w:t xml:space="preserve">[2024] IEHC 167 (BAILII)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2">
        <w:r>
          <w:rPr>
            <w:color w:val="0563C1"/>
            <w:u w:val="single"/>
            <w:sz w:val="18"/>
            <w:rFonts w:ascii="Calibri" w:hAnsi="Calibri"/>
          </w:rPr>
          <w:t xml:space="preserve">22‑15.624, обзор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4">
        <w:r>
          <w:rPr>
            <w:color w:val="0563C1"/>
            <w:u w:val="single"/>
            <w:sz w:val="18"/>
            <w:rFonts w:ascii="Calibri" w:hAnsi="Calibri"/>
          </w:rPr>
          <w:t xml:space="preserve">[2022] KEELRC 3772 (PDF)</w:t>
        </w:r>
      </w:hyperlink>
    </w:p>
    <w:p>
      <w:pPr>
        <w:pStyle w:val="Heading1"/>
      </w:pPr>
      <w:r>
        <w:t>5. Сопоставление с Россией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Российская ст. 22.1(3) ТК — статутный запрет носителя, а не вывод суда. Среди 14 карточек нет судебного «подтверждения», что электронный журнал ОТ всегда недопустим.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Белорусская линия ст. 84 ХПК + п. 35 Инстр. 175 показывает, как тот же постсоветский журнал становится электронным доказательством без ломки процесса.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Ст. 84 ХПК РБ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Инструкция № 175, актуальный PDF Минтруда (п. 35)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Французские 24‑21.034 и 21‑19.841 полезны против «клик‑журналов» и сканов подписи — это можно внедрить, не сохраняя запрет ст. 22.1(3).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21">
        <w:r>
          <w:rPr>
            <w:color w:val="0563C1"/>
            <w:u w:val="single"/>
            <w:sz w:val="18"/>
            <w:rFonts w:ascii="Calibri" w:hAnsi="Calibri"/>
          </w:rPr>
          <w:t xml:space="preserve">Legalis: arrêt 5 mars 2026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7">
        <w:r>
          <w:rPr>
            <w:color w:val="0563C1"/>
            <w:u w:val="single"/>
            <w:sz w:val="18"/>
            <w:rFonts w:ascii="Calibri" w:hAnsi="Calibri"/>
          </w:rPr>
          <w:t xml:space="preserve">Cass. soc. 28.02.2024, n° 22‑15.624 (обзор)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8">
        <w:r>
          <w:rPr>
            <w:color w:val="0563C1"/>
            <w:u w:val="single"/>
            <w:sz w:val="18"/>
            <w:rFonts w:ascii="Calibri" w:hAnsi="Calibri"/>
          </w:rPr>
          <w:t xml:space="preserve">Cass. soc. 14.12.2022, n° 21‑19.841 (KPMG)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Кенийский 106B показывает риск, которого РФ лучше избежать: дополнительный процессуальный ярлык убьёт массовый электронный инструктаж.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26">
        <w:r>
          <w:rPr>
            <w:color w:val="0563C1"/>
            <w:u w:val="single"/>
            <w:sz w:val="18"/>
            <w:rFonts w:ascii="Calibri" w:hAnsi="Calibri"/>
          </w:rPr>
          <w:t xml:space="preserve">Evidence Act Cap 80 (Kenya Law)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9">
        <w:r>
          <w:rPr>
            <w:color w:val="0563C1"/>
            <w:u w:val="single"/>
            <w:sz w:val="18"/>
            <w:rFonts w:ascii="Calibri" w:hAnsi="Calibri"/>
          </w:rPr>
          <w:t xml:space="preserve">Evidence Act Cap 80, s. 106B (lex)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Немецкий Zugang (BGH) стоит учесть для уведомлений и юридически значимых сообщений, не обязательно для внутренней отметки в журнале.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Официальный PDF BGH VIII ZR 155/23</w:t>
        </w:r>
      </w:hyperlink>
    </w:p>
    <w:p>
      <w:pPr>
        <w:pStyle w:val="Heading1"/>
      </w:pPr>
      <w:r>
        <w:t>6. Практический вывод для НИР</w:t>
      </w:r>
    </w:p>
    <w:p>
      <w:r>
        <w:rPr>
          <w:rFonts w:ascii="Calibri" w:hAnsi="Calibri" w:eastAsia="Calibri"/>
          <w:b w:val="0"/>
          <w:i w:val="0"/>
          <w:sz w:val="24"/>
        </w:rPr>
        <w:t>Сравнивать «судебную практику ЭДО в ОТ» как набор одинаковых прецедентов нельзя: предмет судов разный. Корректная рамка — три вопроса, на которые страны отвечают по‑разному: (1) можно ли вообще вести запись электронно; (2) какая подпись/сервис даёт презумпцию; (3) доказывает ли запись именно обучение по данной опасности. РФ сейчас отвечает на (1) «нет» для журналов и актов НС в КЭДО. Семёрка в основном отвечает «да» на (1) и спорит про (2) и (3). Исключения: Сербия (нет на (1) только для Form 6) и Кения (да на (1) в законе ОТ, но «может быть нет» на допустимости в суде).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Закон о БЗР РС 35/2023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26">
        <w:r>
          <w:rPr>
            <w:color w:val="0563C1"/>
            <w:u w:val="single"/>
            <w:sz w:val="18"/>
            <w:rFonts w:ascii="Calibri" w:hAnsi="Calibri"/>
          </w:rPr>
          <w:t xml:space="preserve">Evidence Act Cap 80 (Kenya Law)</w:t>
        </w:r>
      </w:hyperlink>
    </w:p>
    <w:p>
      <w:pPr>
        <w:pStyle w:val="Heading1"/>
      </w:pPr>
      <w:r>
        <w:t>7. Источники карточек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Официальный PDF BGH VIII ZR 155/23: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https://www.bundesgerichtshof.de/SharedDocs/Entscheidungen/DE/Zivilsenate/VIII_ZS/2023/VIII_ZR_155-23.pdf?__blob=publicationFile&amp;v=1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Краткая карточка rewis.io: </w:t>
      </w:r>
      <w:hyperlink r:id="rId30">
        <w:r>
          <w:rPr>
            <w:color w:val="0563C1"/>
            <w:u w:val="single"/>
            <w:sz w:val="22"/>
            <w:rFonts w:ascii="Calibri" w:hAnsi="Calibri"/>
          </w:rPr>
          <w:t xml:space="preserve">https://rewis.io/urteile/urteil/wfg-27-11-2024-viii-zr-15523/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BAG 1 ABR 104/09, официальная страница: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https://www.bundesarbeitsgericht.de/entscheidung/1-abr-104-09/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Ст. 84 ХПК: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https://zakony-by.com/hozyajstvennyj_protsessualnyj_kodeks_rb/84.htm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Практика: электронные документы в договорах: </w:t>
      </w:r>
      <w:hyperlink r:id="rId31">
        <w:r>
          <w:rPr>
            <w:color w:val="0563C1"/>
            <w:u w:val="single"/>
            <w:sz w:val="22"/>
            <w:rFonts w:ascii="Calibri" w:hAnsi="Calibri"/>
          </w:rPr>
          <w:t xml:space="preserve">https://bii.by/docs/ispolzovanie-dokumentov-v-elektronnom-vide-v-dogovornykh-otnosheniyakh-sudebnaya-praktika-358365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Акт сверки в электронном виде (ilex): </w:t>
      </w:r>
      <w:hyperlink r:id="rId32">
        <w:r>
          <w:rPr>
            <w:color w:val="0563C1"/>
            <w:u w:val="single"/>
            <w:sz w:val="22"/>
            <w:rFonts w:ascii="Calibri" w:hAnsi="Calibri"/>
          </w:rPr>
          <w:t xml:space="preserve">https://ilex.by/akt-sverki-v-elektronnom-vide-kak-dokazatelstvo-v-sude/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Инструкция № 175, п. 35: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https://www.mintrud.gov.by/uploads/files/MTiSZ-175-po-sost.-na-02.09.2024.pdf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Ст. 84 ХПК: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https://zakony-by.com/hozyajstvennyj_protsessualnyj_kodeks_rb/84.htm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 Legal: Constitutional Court, XI.2023: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https://www.prlegal.rs/filing-a-complaint-via-email-yes-it-is-possible/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 Legal: Gž 1664/20, Ниш, 16.09.2020: </w:t>
      </w:r>
      <w:hyperlink r:id="rId33">
        <w:r>
          <w:rPr>
            <w:color w:val="0563C1"/>
            <w:u w:val="single"/>
            <w:sz w:val="22"/>
            <w:rFonts w:ascii="Calibri" w:hAnsi="Calibri"/>
          </w:rPr>
          <w:t xml:space="preserve">https://www.prlegal.rs/electronic-signing-of-documents-in-serbia-novelties-in-signing-of-financial-statements-for-business-registers-agency/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Lexology: Form 6 exception: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 xml:space="preserve">https://www.lexology.com/library/detail.aspx?g=123a20c5-c0a7-425d-8c37-c9892c70dc93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Gž 1664/20 (обзор): </w:t>
      </w:r>
      <w:hyperlink r:id="rId33">
        <w:r>
          <w:rPr>
            <w:color w:val="0563C1"/>
            <w:u w:val="single"/>
            <w:sz w:val="22"/>
            <w:rFonts w:ascii="Calibri" w:hAnsi="Calibri"/>
          </w:rPr>
          <w:t xml:space="preserve">https://www.prlegal.rs/electronic-signing-of-documents-in-serbia-novelties-in-signing-of-financial-statements-for-business-registers-agency/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Ley 6/2020 / LEC 326.4: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 xml:space="preserve">https://www.boe.es/eli/es/l/2020/11/11/6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Обзор STS 116/2025 (LegalToday): </w:t>
      </w:r>
      <w:hyperlink r:id="rId34">
        <w:r>
          <w:rPr>
            <w:color w:val="0563C1"/>
            <w:u w:val="single"/>
            <w:sz w:val="22"/>
            <w:rFonts w:ascii="Calibri" w:hAnsi="Calibri"/>
          </w:rPr>
          <w:t xml:space="preserve">https://www.legaltoday.com/practica-juridica/derecho-penal/valor-probatorio-de-los-pantallazos-de-conversaciones-de-whatsapp-o-sus-transcripciones-sts-116-2025-de-13-de-febrero-2025-09-29/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LPRL 31/1995: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 xml:space="preserve">https://www.boe.es/buscar/act.php?id=BOE-A-1995-24292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LEX/AHK: ЭП в трудовых отношениях: </w:t>
      </w:r>
      <w:hyperlink r:id="rId35">
        <w:r>
          <w:rPr>
            <w:color w:val="0563C1"/>
            <w:u w:val="single"/>
            <w:sz w:val="22"/>
            <w:rFonts w:ascii="Calibri" w:hAnsi="Calibri"/>
          </w:rPr>
          <w:t xml:space="preserve">https://lex.ahk.es/actualidad-juridica/puede-la-empresa-emplear-la-firma-electronica-en-el-ambito-laboral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BAILII: [2010] IEHC 47: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 xml:space="preserve">https://www.bailii.org/ie/cases/IEHC/2010/H47.html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ECA 2000 s. 9: </w:t>
      </w:r>
      <w:hyperlink r:id="rId36">
        <w:r>
          <w:rPr>
            <w:color w:val="0563C1"/>
            <w:u w:val="single"/>
            <w:sz w:val="22"/>
            <w:rFonts w:ascii="Calibri" w:hAnsi="Calibri"/>
          </w:rPr>
          <w:t xml:space="preserve">https://www.irishstatutebook.ie/eli/2000/act/27/section/9/enacted/en/html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[2024] IEHC 167 (BAILII):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 xml:space="preserve">https://www.bailii.org/ie/cases/IEHC/2024/2024IEHC167.html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Legalis: arrêt 5 mars 2026: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 xml:space="preserve">https://www.legalis.net/jurisprudences/cour-de-cassation-civile-ch-civile-3-arret-du-5-mars-2026/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Doctrine: n° 24‑21.034: </w:t>
      </w:r>
      <w:hyperlink r:id="rId37">
        <w:r>
          <w:rPr>
            <w:color w:val="0563C1"/>
            <w:u w:val="single"/>
            <w:sz w:val="22"/>
            <w:rFonts w:ascii="Calibri" w:hAnsi="Calibri"/>
          </w:rPr>
          <w:t xml:space="preserve">https://www.doctrine.fr/d/CASS/2026/CASSP5F27671B4851EF0B45AF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22‑15.624, обзор: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 xml:space="preserve">https://ogletree.fr/publications/od-flash-resiliation-judiciaire-du-contrat-de-travail-et-accident-du-travail-charge-de-la-preuve-en-cas-de-manquement-de-lemployeur-aux-regles-de-prevention-et-de-securite/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21‑19.841, KPMG: </w:t>
      </w:r>
      <w:hyperlink r:id="rId28">
        <w:r>
          <w:rPr>
            <w:color w:val="0563C1"/>
            <w:u w:val="single"/>
            <w:sz w:val="22"/>
            <w:rFonts w:ascii="Calibri" w:hAnsi="Calibri"/>
          </w:rPr>
          <w:t xml:space="preserve">https://kpmg.com/av/fr/avocats/eclairages/2023/01/valeur-juridique-de-la-signature-numerisee.html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Kenya Law: [2025] KEELC 392: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https://new.kenyalaw.org/akn/ke/judgment/keelc/2025/392/eng@2025-02-06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Kenya Law Weekly 042/24‑25 (headnote): </w:t>
      </w:r>
      <w:hyperlink r:id="rId38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https://new.kenyalaw.org/akn/ke/doc/newsletter/2025-05-12/kenya-law-weekly-issue-04224-25/eng@2025-05-12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[2022] KEELRC 3772 (PDF): </w:t>
      </w:r>
      <w:hyperlink r:id="rId24">
        <w:r>
          <w:rPr>
            <w:color w:val="0563C1"/>
            <w:u w:val="single"/>
            <w:sz w:val="22"/>
            <w:rFonts w:ascii="Calibri" w:hAnsi="Calibri"/>
          </w:rPr>
          <w:t xml:space="preserve">https://sheriahub.com/cases/ke/caselaw/bigot-flowers-kenya-ltd-v-cheboswony-employment-and-labour-relations-appeal-10of-2018-2022-keelrc-3772-klr-10may-2022-judgment.pdf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OSHA 2007: </w:t>
      </w:r>
      <w:hyperlink r:id="rId39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https://new.kenyalaw.org/akn/ke/act/2007/15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intrud.gov.by/uploads/files/MTiSZ-175-po-sost.-na-02.09.2024.pdf" TargetMode="External"/><Relationship Id="rId10" Type="http://schemas.openxmlformats.org/officeDocument/2006/relationships/hyperlink" Target="https://www.paragraf.rs/propisi/zakon-o-bezbednosti-i-zdravlju-na-radu.html" TargetMode="External"/><Relationship Id="rId11" Type="http://schemas.openxmlformats.org/officeDocument/2006/relationships/hyperlink" Target="https://www.consultant.ru/document/cons_doc_LAW_34683/" TargetMode="External"/><Relationship Id="rId12" Type="http://schemas.openxmlformats.org/officeDocument/2006/relationships/hyperlink" Target="https://www.bundesgerichtshof.de/SharedDocs/Entscheidungen/DE/Zivilsenate/VIII_ZS/2023/VIII_ZR_155-23.pdf?__blob=publicationFile&amp;v=1" TargetMode="External"/><Relationship Id="rId13" Type="http://schemas.openxmlformats.org/officeDocument/2006/relationships/hyperlink" Target="https://www.bundesarbeitsgericht.de/entscheidung/1-abr-104-09/" TargetMode="External"/><Relationship Id="rId14" Type="http://schemas.openxmlformats.org/officeDocument/2006/relationships/hyperlink" Target="https://zakony-by.com/hozyajstvennyj_protsessualnyj_kodeks_rb/84.htm" TargetMode="External"/><Relationship Id="rId15" Type="http://schemas.openxmlformats.org/officeDocument/2006/relationships/hyperlink" Target="https://www.prlegal.rs/filing-a-complaint-via-email-yes-it-is-possible/" TargetMode="External"/><Relationship Id="rId16" Type="http://schemas.openxmlformats.org/officeDocument/2006/relationships/hyperlink" Target="https://www.lexology.com/library/detail.aspx?g=123a20c5-c0a7-425d-8c37-c9892c70dc93" TargetMode="External"/><Relationship Id="rId17" Type="http://schemas.openxmlformats.org/officeDocument/2006/relationships/hyperlink" Target="https://www.boe.es/eli/es/l/2020/11/11/6" TargetMode="External"/><Relationship Id="rId18" Type="http://schemas.openxmlformats.org/officeDocument/2006/relationships/hyperlink" Target="https://www.boe.es/buscar/act.php?id=BOE-A-1995-24292" TargetMode="External"/><Relationship Id="rId19" Type="http://schemas.openxmlformats.org/officeDocument/2006/relationships/hyperlink" Target="https://www.bailii.org/ie/cases/IEHC/2010/H47.html" TargetMode="External"/><Relationship Id="rId20" Type="http://schemas.openxmlformats.org/officeDocument/2006/relationships/hyperlink" Target="https://www.bailii.org/ie/cases/IEHC/2024/2024IEHC167.html" TargetMode="External"/><Relationship Id="rId21" Type="http://schemas.openxmlformats.org/officeDocument/2006/relationships/hyperlink" Target="https://www.legalis.net/jurisprudences/cour-de-cassation-civile-ch-civile-3-arret-du-5-mars-2026/" TargetMode="External"/><Relationship Id="rId22" Type="http://schemas.openxmlformats.org/officeDocument/2006/relationships/hyperlink" Target="https://ogletree.fr/publications/od-flash-resiliation-judiciaire-du-contrat-de-travail-et-accident-du-travail-charge-de-la-preuve-en-cas-de-manquement-de-lemployeur-aux-regles-de-prevention-et-de-securite/" TargetMode="External"/><Relationship Id="rId23" Type="http://schemas.openxmlformats.org/officeDocument/2006/relationships/hyperlink" Target="https://new.kenyalaw.org/akn/ke/judgment/keelc/2025/392/eng@2025-02-06" TargetMode="External"/><Relationship Id="rId24" Type="http://schemas.openxmlformats.org/officeDocument/2006/relationships/hyperlink" Target="https://sheriahub.com/cases/ke/caselaw/bigot-flowers-kenya-ltd-v-cheboswony-employment-and-labour-relations-appeal-10of-2018-2022-keelrc-3772-klr-10may-2022-judgment.pdf" TargetMode="External"/><Relationship Id="rId25" Type="http://schemas.openxmlformats.org/officeDocument/2006/relationships/hyperlink" Target="https://www.boe.es/buscar/act.php?id=BOE-A-2000-323#a326" TargetMode="External"/><Relationship Id="rId26" Type="http://schemas.openxmlformats.org/officeDocument/2006/relationships/hyperlink" Target="https://new.kenyalaw.org/akn/ke/act/1963/46" TargetMode="External"/><Relationship Id="rId27" Type="http://schemas.openxmlformats.org/officeDocument/2006/relationships/hyperlink" Target="https://www.lemag-juridique.com/articles/responsabilite-preuve-manquement-lemployeur-regles-prevention-securite-lorigine-laccident-travail-salarie-6418.htm" TargetMode="External"/><Relationship Id="rId28" Type="http://schemas.openxmlformats.org/officeDocument/2006/relationships/hyperlink" Target="https://kpmg.com/av/fr/avocats/eclairages/2023/01/valeur-juridique-de-la-signature-numerisee.html" TargetMode="External"/><Relationship Id="rId29" Type="http://schemas.openxmlformats.org/officeDocument/2006/relationships/hyperlink" Target="https://kenyalaw.org/lex/actview.xql?actid=CAP.+80" TargetMode="External"/><Relationship Id="rId30" Type="http://schemas.openxmlformats.org/officeDocument/2006/relationships/hyperlink" Target="https://rewis.io/urteile/urteil/wfg-27-11-2024-viii-zr-15523/" TargetMode="External"/><Relationship Id="rId31" Type="http://schemas.openxmlformats.org/officeDocument/2006/relationships/hyperlink" Target="https://bii.by/docs/ispolzovanie-dokumentov-v-elektronnom-vide-v-dogovornykh-otnosheniyakh-sudebnaya-praktika-358365" TargetMode="External"/><Relationship Id="rId32" Type="http://schemas.openxmlformats.org/officeDocument/2006/relationships/hyperlink" Target="https://ilex.by/akt-sverki-v-elektronnom-vide-kak-dokazatelstvo-v-sude/" TargetMode="External"/><Relationship Id="rId33" Type="http://schemas.openxmlformats.org/officeDocument/2006/relationships/hyperlink" Target="https://www.prlegal.rs/electronic-signing-of-documents-in-serbia-novelties-in-signing-of-financial-statements-for-business-registers-agency/" TargetMode="External"/><Relationship Id="rId34" Type="http://schemas.openxmlformats.org/officeDocument/2006/relationships/hyperlink" Target="https://www.legaltoday.com/practica-juridica/derecho-penal/valor-probatorio-de-los-pantallazos-de-conversaciones-de-whatsapp-o-sus-transcripciones-sts-116-2025-de-13-de-febrero-2025-09-29/" TargetMode="External"/><Relationship Id="rId35" Type="http://schemas.openxmlformats.org/officeDocument/2006/relationships/hyperlink" Target="https://lex.ahk.es/actualidad-juridica/puede-la-empresa-emplear-la-firma-electronica-en-el-ambito-laboral" TargetMode="External"/><Relationship Id="rId36" Type="http://schemas.openxmlformats.org/officeDocument/2006/relationships/hyperlink" Target="https://www.irishstatutebook.ie/eli/2000/act/27/section/9/enacted/en/html" TargetMode="External"/><Relationship Id="rId37" Type="http://schemas.openxmlformats.org/officeDocument/2006/relationships/hyperlink" Target="https://www.doctrine.fr/d/CASS/2026/CASSP5F27671B4851EF0B45AF" TargetMode="External"/><Relationship Id="rId38" Type="http://schemas.openxmlformats.org/officeDocument/2006/relationships/hyperlink" Target="https://new.kenyalaw.org/akn/ke/doc/newsletter/2025-05-12/kenya-law-weekly-issue-04224-25/eng@2025-05-12" TargetMode="External"/><Relationship Id="rId39" Type="http://schemas.openxmlformats.org/officeDocument/2006/relationships/hyperlink" Target="https://new.kenyalaw.org/akn/ke/act/2007/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