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Calibri"/>
          <w:b/>
          <w:i w:val="0"/>
          <w:color w:val="1F4E79"/>
          <w:sz w:val="44"/>
        </w:rPr>
        <w:t>Сербия: судебная практика — ЭДО в охране труда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535353"/>
          <w:sz w:val="26"/>
        </w:rPr>
        <w:t>Правилник Сл. гласник РС 5/2025 + аналогия Gž 1664/20 (QES как условие действительности электронного акта)</w:t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535353"/>
          <w:sz w:val="22"/>
        </w:rPr>
        <w:t>Сравнительный анализ зарубежного регулирования электронного документооборота (ЭДО) с правовой моделью Российской Федерации. Актуализация: август 2026 г.</w:t>
      </w:r>
    </w:p>
    <w:p>
      <w:pPr>
        <w:spacing w:after="240"/>
      </w:pPr>
      <w:r>
        <w:rPr>
          <w:rFonts w:ascii="Calibri" w:hAnsi="Calibri" w:eastAsia="Calibri"/>
          <w:b w:val="0"/>
          <w:i/>
          <w:color w:val="535353"/>
          <w:sz w:val="20"/>
        </w:rPr>
        <w:t>Как проверить. После каждого блока фактов — строка «Проверить» с кликабельной ссылкой на официальный текст закона, судебное решение или первоисточник. Рекомендации («что добавить / не переносить») — выводы автора НИР, но рядом указаны нормы, на которые они опираются. Номера дел не вымышлены.</w:t>
      </w:r>
    </w:p>
    <w:p>
      <w:r>
        <w:rPr>
          <w:rFonts w:ascii="Calibri" w:hAnsi="Calibri" w:eastAsia="Calibri"/>
          <w:b/>
          <w:i w:val="0"/>
          <w:color w:val="1F4E79"/>
          <w:sz w:val="22"/>
        </w:rPr>
        <w:t xml:space="preserve">Пометка о статусе практики. </w:t>
      </w:r>
      <w:r>
        <w:rPr>
          <w:rFonts w:ascii="Calibri" w:hAnsi="Calibri" w:eastAsia="Calibri"/>
          <w:b w:val="0"/>
          <w:i w:val="0"/>
          <w:color w:val="535353"/>
          <w:sz w:val="22"/>
        </w:rPr>
        <w:t>Это аналогия: отдельного опубликованного решения именно об «электронном журнале инструктажа / электронном документе ОТ» не найдено. Ниже — ближайшая реальная практика (или связка нормы ОТ и процессуальных правил ЭДО). Номера дел не вымышлены.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 норму / ближайшее дело: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Lexology: Form 6 exception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Gž 1664/20 (обзор)</w:t>
        </w:r>
      </w:hyperlink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Карточка дела: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Lexology: Form 6 exception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Gž 1664/20 (обзор)</w:t>
        </w:r>
      </w:hyperlink>
    </w:p>
    <w:p>
      <w:pPr>
        <w:pStyle w:val="Heading1"/>
      </w:pPr>
      <w:r>
        <w:t>1. Реквизиты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Поле</w:t>
            </w:r>
          </w:p>
        </w:tc>
        <w:tc>
          <w:tcPr>
            <w:tcW w:type="dxa" w:w="4762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Страна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Сербия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Суд / орган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Судебного спора о Форме 6 (электронное vs бумажное обучение по ОТ) не найдено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Цитата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Правилник Сл. гласник РС 5/2025 + аналогия Gž 1664/20 (QES как условие действительности электронного акта)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Сюжет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Аналогия: электронный учёт ОТ действителен только с QES; учёт обучения (Form 6) — бумага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Статус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Аналогия (ближайшая практика)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Ссылка для проверки</w:t>
            </w:r>
          </w:p>
        </w:tc>
        <w:tc>
          <w:tcPr>
            <w:tcW w:type="dxa" w:w="4762"/>
          </w:tcPr>
          <w:p>
            <w:r/>
            <w:hyperlink r:id="rId9">
              <w:r>
                <w:rPr>
                  <w:color w:val="0563C1"/>
                  <w:u w:val="single"/>
                  <w:sz w:val="18"/>
                  <w:rFonts w:ascii="Calibri" w:hAnsi="Calibri"/>
                </w:rPr>
                <w:t xml:space="preserve">Lexology: Form 6 exception</w:t>
              </w:r>
            </w:hyperlink>
          </w:p>
        </w:tc>
      </w:tr>
    </w:tbl>
    <w:p/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Дополнительные ссылки: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Gž 1664/20 (обзор)</w:t>
        </w:r>
      </w:hyperlink>
    </w:p>
    <w:p>
      <w:pPr>
        <w:pStyle w:val="Heading1"/>
      </w:pPr>
      <w:r>
        <w:t>2. Фабула</w:t>
      </w:r>
    </w:p>
    <w:p>
      <w:r>
        <w:rPr>
          <w:rFonts w:ascii="Calibri" w:hAnsi="Calibri" w:eastAsia="Calibri"/>
          <w:b w:val="0"/>
          <w:i w:val="0"/>
          <w:sz w:val="24"/>
        </w:rPr>
        <w:t>Правилник 2025 г. новый; опубликованных решений, где суд принял или отверг электронную Форму 6, нет. Работодатели одновременно получили право вести большинство форм электронно и запрет переносить Form 6 в электронику.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Lexology: Form 6 exception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Gž 1664/20 (обзор)</w:t>
        </w:r>
      </w:hyperlink>
    </w:p>
    <w:p>
      <w:pPr>
        <w:pStyle w:val="Heading1"/>
      </w:pPr>
      <w:r>
        <w:t>3. Правовая позиция</w:t>
      </w:r>
    </w:p>
    <w:p>
      <w:r>
        <w:rPr>
          <w:rFonts w:ascii="Calibri" w:hAnsi="Calibri" w:eastAsia="Calibri"/>
          <w:b w:val="0"/>
          <w:i w:val="0"/>
          <w:sz w:val="24"/>
        </w:rPr>
        <w:t>Нормативное правило: электронные учёты ОТ должны нести квалифицированную ЭП; Form 6 ведётся в печатном виде. По аналогии с Gž 1664/20 и практикой Конституционного суда электронный акт ОТ без QES с высокой вероятностью будет оценён как неподписанный. Бумажная Form 6, напротив, сохраняет классическую доказательственную логику «журнала обучения».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Lexology: Form 6 exception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Gž 1664/20 (обзор)</w:t>
        </w:r>
      </w:hyperlink>
    </w:p>
    <w:p>
      <w:pPr>
        <w:pStyle w:val="Heading1"/>
      </w:pPr>
      <w:r>
        <w:t>4. Значение для НИР (ЭДО / ОТ / РФ)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Аналогия обязательна: это связка нового правилника и формализма судов по QES.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Сербия — «зеркальный близнец» Беларуси: обе постсоциалистические, но по журналу обучения выбрали противоположно.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Для РФ: точечный бумажный резерв (обучение) ближе к ст. 22.1(3), чем полный немецкий либерализм.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Lexology: Form 6 exception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Gž 1664/20 (обзор)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ТК РФ, ст. 22.1 ч. 3 (исключения из кадрового ЭДО)</w:t>
        </w:r>
      </w:hyperlink>
    </w:p>
    <w:p>
      <w:pPr>
        <w:pStyle w:val="Heading1"/>
      </w:pPr>
      <w:r>
        <w:t>5. Источники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Lexology: Form 6 exception: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 xml:space="preserve">https://www.lexology.com/library/detail.aspx?g=123a20c5-c0a7-425d-8c37-c9892c70dc93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Gž 1664/20 (обзор):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 xml:space="preserve">https://www.prlegal.rs/electronic-signing-of-documents-in-serbia-novelties-in-signing-of-financial-statements-for-business-registers-agency/</w:t>
        </w:r>
      </w:hyperlink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40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exology.com/library/detail.aspx?g=123a20c5-c0a7-425d-8c37-c9892c70dc93" TargetMode="External"/><Relationship Id="rId10" Type="http://schemas.openxmlformats.org/officeDocument/2006/relationships/hyperlink" Target="https://www.prlegal.rs/electronic-signing-of-documents-in-serbia-novelties-in-signing-of-financial-statements-for-business-registers-agency/" TargetMode="External"/><Relationship Id="rId11" Type="http://schemas.openxmlformats.org/officeDocument/2006/relationships/hyperlink" Target="https://www.consultant.ru/document/cons_doc_LAW_3468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