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Сравнение семи стран с Российской Федерацией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63‑ФЗ, ст. 22.1–22.3 ТК, ПП 2464, 315‑ФЗ (август 2026)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pPr>
        <w:pStyle w:val="Heading1"/>
      </w:pPr>
      <w:r>
        <w:t>1. Российская точка отсчёта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Юридическая сила электронного документа и подписи — прежде всего ФЗ от 06.04.2011 № 63‑ФЗ (ПЭП / УНЭП / УКЭП).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B2B‑ЭДО (счета‑фактуры, УПД и др.) — через операторов ЭДО и отраслевые требования ФНС / Минфина.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Кадровый ЭДО — ст. 22.1–22.3 ТК РФ (согласие работника, виды ЭП, исключения).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Трансграничное признание иностранных ЭП — ст. 7 63‑ФЗ: международные договоры, соглашение сторон, существенная эквивалентность; в ЕАЭС — через службу доверенной третьей стороны (ДТС).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 августа 2026: ФЗ от 04.08.2026 № 315‑ФЗ — правила УКЭП для международных (межправительственных) организаций и их филиалов/представительств в РФ; квалифицированный сертификат выдаёт УЦ ФНС России.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ФЗ от 04.08.2026 № 315‑ФЗ (УКЭП международных организаций)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Решение Коллегии ЕЭК от 22.08.2023 № 120 (ДТС ЕАЭС)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Кадровый ЭДО — ст. 22.1–22.3 ТК РФ: согласие работника, виды ЭП, исключения.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Ч. 3 ст. 22.1 ТК РФ прямо исключает из кадрового ЭДО документы о прохождении работником инструктажа по охране труда и акты о несчастном случае на производстве.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Обучение / инструктажи по ОТ — постановление Правительства РФ от 24.12.2021 № 2464; на практике журналы инструктажей ведутся на бумаге именно из‑за исключения ст. 22.1(3).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Юридическая сила электронной подписи — 63‑ФЗ (ПЭП / УНЭП / УКЭП). Для кадровых документов с 2022 г. — ст. 22.2–22.3 ТК.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ПП РФ от 24.12.2021 № 2464 (обучение по охране труда)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</w:p>
    <w:p>
      <w:pPr>
        <w:pStyle w:val="Heading1"/>
      </w:pPr>
      <w:r>
        <w:t>2. Главный вывод</w:t>
      </w:r>
    </w:p>
    <w:p>
      <w:r>
        <w:rPr>
          <w:rFonts w:ascii="Calibri" w:hAnsi="Calibri" w:eastAsia="Calibri"/>
          <w:b w:val="0"/>
          <w:i w:val="0"/>
          <w:sz w:val="24"/>
        </w:rPr>
        <w:t>Среди семи стран Россия остаётся единственной, где кадровый кодекс прямо выводит из ЭДО документы об инструктаже по охране труда и акты о несчастном случае (ст. 22.1 ч. 3 ТК РФ). Это не «общемировой стандарт», а национальный выбор. Ближайший противоположный образец в этой семёрке — Беларусь (п. 35 Инструкции № 175). Ближайший «частичный» образец запрета — Сербия (Form 6 на бумаге при электронных остальных формах ОТ). ЕС‑четвёрка запрета не знает: там спорят о содержании обучения и о силе подписи, а не о праве вести журнал электронно.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Инструкция № 175, актуальный PDF Минтруда (п. 35)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5">
        <w:r>
          <w:rPr>
            <w:color w:val="0563C1"/>
            <w:u w:val="single"/>
            <w:sz w:val="18"/>
            <w:rFonts w:ascii="Calibri" w:hAnsi="Calibri"/>
          </w:rPr>
          <w:t xml:space="preserve">Закон о БЗР РС 35/2023 (Paragraf)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6">
        <w:r>
          <w:rPr>
            <w:color w:val="0563C1"/>
            <w:u w:val="single"/>
            <w:sz w:val="18"/>
            <w:rFonts w:ascii="Calibri" w:hAnsi="Calibri"/>
          </w:rPr>
          <w:t xml:space="preserve">ArbSchG (gesetze-im-internet)</w:t>
        </w:r>
      </w:hyperlink>
    </w:p>
    <w:p>
      <w:pPr>
        <w:pStyle w:val="Heading1"/>
      </w:pPr>
      <w:r>
        <w:t>3. Сводная таблица с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Вопрос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РФ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Как в семёрке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Проверить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Иерархия подписи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ПЭП / УНЭП / УКЭП (63‑ФЗ)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DE/ES/IE/FR/RS — SES/AES/QES. BY — ЭЦП. KE — advanced e‑signature без европейской лестницы</w:t>
            </w:r>
          </w:p>
        </w:tc>
        <w:tc>
          <w:tcPr>
            <w:tcW w:type="dxa" w:w="2381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ФЗ от 06.04.2011 № 63‑ФЗ «Об электронной подписи»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Презумпция подлинности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Сильнее у УКЭП; отдельной «штрафной» презумпции как LEC 326.4 нет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ES — LEC 326.4 + штраф. FR — только QES (Cass. 2026). KE — вход через 106B, не через вид ЭП</w:t>
            </w:r>
          </w:p>
        </w:tc>
        <w:tc>
          <w:tcPr>
            <w:tcW w:type="dxa" w:w="2381"/>
          </w:tcPr>
          <w:p>
            <w:r/>
            <w:hyperlink r:id="rId17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LEC, art. 326 (BOE, текст кодекса)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Кадровый ЭДО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Ст. 22.1–22.3 ТК, согласие работника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 с 2025 — Textform для многих кадровых документов. IE/ES/FR — eIDAS + трудовые кодексы без отдельного «КЭДО»</w:t>
            </w:r>
          </w:p>
        </w:tc>
        <w:tc>
          <w:tcPr>
            <w:tcW w:type="dxa" w:w="2381"/>
          </w:tcPr>
          <w:p>
            <w:r/>
            <w:hyperlink r:id="rId10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ТК РФ, ст. 22.1–22.3 (кадровый ЭДО)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Журнал инструктажа / обучение ОТ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Исключён из КЭДО (ст. 22.1(3))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BY — прямо можно. DE — подпись не обязательна. RS — Form 6 бумага. ES/IE/FR — нет запрета. KE — молчание OSHA + 106B</w:t>
            </w:r>
          </w:p>
        </w:tc>
        <w:tc>
          <w:tcPr>
            <w:tcW w:type="dxa" w:w="2381"/>
          </w:tcPr>
          <w:p>
            <w:r/>
            <w:hyperlink r:id="rId10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ТК РФ, ст. 22.1 ч. 3 (исключения из кадрового ЭДО)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Акт НС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Исключён из КЭДО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Ни одна из семи не копирует этот запрет. Учёт НС везде статутный; носитель обычно не запрещён</w:t>
            </w:r>
          </w:p>
        </w:tc>
        <w:tc>
          <w:tcPr>
            <w:tcW w:type="dxa" w:w="2381"/>
          </w:tcPr>
          <w:p>
            <w:r/>
            <w:hyperlink r:id="rId10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ТК РФ, ст. 22.1 ч. 3 (исключения из кадрового ЭДО)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Трансграничность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Ст. 7 63‑ФЗ, ДТС ЕАЭС, 315‑ФЗ (2026)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ЕС — взаимное QES. BY — тот же контур ЕАЭС. RS/KE — без автоматического признания с ЕС/РФ</w:t>
            </w:r>
          </w:p>
        </w:tc>
        <w:tc>
          <w:tcPr>
            <w:tcW w:type="dxa" w:w="2381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Ст. 7 63‑ФЗ — признание иностранных электронных подписей</w:t>
              </w:r>
            </w:hyperlink>
          </w:p>
        </w:tc>
      </w:tr>
    </w:tbl>
    <w:p/>
    <w:p>
      <w:pPr>
        <w:pStyle w:val="Heading1"/>
      </w:pPr>
      <w:r>
        <w:t>4. Что похоже на РФ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Беларусь: та же PKI‑логика ЭЦП и отдельный закон об электронном документе; общий контур ЕАЭС.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8">
        <w:r>
          <w:rPr>
            <w:color w:val="0563C1"/>
            <w:u w:val="single"/>
            <w:sz w:val="18"/>
            <w:rFonts w:ascii="Calibri" w:hAnsi="Calibri"/>
          </w:rPr>
          <w:t xml:space="preserve">Закон РБ № 113‑З (pravo.by)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Решение Коллегии ЕЭК от 22.08.2023 № 120 (ДТС ЕАЭС)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Сербия и Франция: суды чувствительны к квалифицированной подписи (без QES нет «подписи» / нет презумпции).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9">
        <w:r>
          <w:rPr>
            <w:color w:val="0563C1"/>
            <w:u w:val="single"/>
            <w:sz w:val="18"/>
            <w:rFonts w:ascii="Calibri" w:hAnsi="Calibri"/>
          </w:rPr>
          <w:t xml:space="preserve">Закон об электронном документе РС 94/2017 (Paragraf)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20">
        <w:r>
          <w:rPr>
            <w:color w:val="0563C1"/>
            <w:u w:val="single"/>
            <w:sz w:val="18"/>
            <w:rFonts w:ascii="Calibri" w:hAnsi="Calibri"/>
          </w:rPr>
          <w:t xml:space="preserve">Cass. 3e civ., 5 mars 2026, n° 24‑21.034 (Legalis)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Все семь + РФ: после НС работодатель доказывает меры и обучение.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ПП РФ от 24.12.2021 № 2464 (обучение по охране труда)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21">
        <w:r>
          <w:rPr>
            <w:color w:val="0563C1"/>
            <w:u w:val="single"/>
            <w:sz w:val="18"/>
            <w:rFonts w:ascii="Calibri" w:hAnsi="Calibri"/>
          </w:rPr>
          <w:t xml:space="preserve">Code du travail L. 4121‑1 (Légifrance)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Ирландия: есть список исключений из ЭДО (но это wills/deeds/affidavits, не журналы ОТ).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22">
        <w:r>
          <w:rPr>
            <w:color w:val="0563C1"/>
            <w:u w:val="single"/>
            <w:sz w:val="18"/>
            <w:rFonts w:ascii="Calibri" w:hAnsi="Calibri"/>
          </w:rPr>
          <w:t xml:space="preserve">ECA 2000, section 9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23">
        <w:r>
          <w:rPr>
            <w:color w:val="0563C1"/>
            <w:u w:val="single"/>
            <w:sz w:val="18"/>
            <w:rFonts w:ascii="Calibri" w:hAnsi="Calibri"/>
          </w:rPr>
          <w:t xml:space="preserve">ECA 2000, section 13</w:t>
        </w:r>
      </w:hyperlink>
    </w:p>
    <w:p>
      <w:pPr>
        <w:pStyle w:val="Heading1"/>
      </w:pPr>
      <w:r>
        <w:t>5. Чем РФ отличается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Уникальный статутный запрет журналов инструктажа и актов НС в КЭДО.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Развитый институт операторов ЭДО / КЭДО, которого нет в немецком Textform и в ирландском ECA.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22">
        <w:r>
          <w:rPr>
            <w:color w:val="0563C1"/>
            <w:u w:val="single"/>
            <w:sz w:val="18"/>
            <w:rFonts w:ascii="Calibri" w:hAnsi="Calibri"/>
          </w:rPr>
          <w:t xml:space="preserve">ECA 2000, section 9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Нет нормы в духе LEC 326.4 (презумпция + штраф за легкомысленное оспаривание квалифицированного документа).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24">
        <w:r>
          <w:rPr>
            <w:color w:val="0563C1"/>
            <w:u w:val="single"/>
            <w:sz w:val="18"/>
            <w:rFonts w:ascii="Calibri" w:hAnsi="Calibri"/>
          </w:rPr>
          <w:t xml:space="preserve">Ley 6/2020 (BOE) — правка LEC 326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7">
        <w:r>
          <w:rPr>
            <w:color w:val="0563C1"/>
            <w:u w:val="single"/>
            <w:sz w:val="18"/>
            <w:rFonts w:ascii="Calibri" w:hAnsi="Calibri"/>
          </w:rPr>
          <w:t xml:space="preserve">LEC, art. 326 (BOE, текст кодекса)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Нет нормы в духе кенийского 106B (универсальный сертификат компьютера) — и это скорее плюс для массовых журналов.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25">
        <w:r>
          <w:rPr>
            <w:color w:val="0563C1"/>
            <w:u w:val="single"/>
            <w:sz w:val="18"/>
            <w:rFonts w:ascii="Calibri" w:hAnsi="Calibri"/>
          </w:rPr>
          <w:t xml:space="preserve">Evidence Act Cap 80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26">
        <w:r>
          <w:rPr>
            <w:color w:val="0563C1"/>
            <w:u w:val="single"/>
            <w:sz w:val="18"/>
            <w:rFonts w:ascii="Calibri" w:hAnsi="Calibri"/>
          </w:rPr>
          <w:t xml:space="preserve">Evidence Act Cap 80, s. 106B (lex)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315‑ФЗ (04.08.2026) закрывает УКЭП международных организаций — точечная новация, которой в семёрке нет.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ФЗ от 04.08.2026 № 315‑ФЗ (УКЭП международных организаций)</w:t>
        </w:r>
      </w:hyperlink>
    </w:p>
    <w:p>
      <w:pPr>
        <w:pStyle w:val="Heading1"/>
      </w:pPr>
      <w:r>
        <w:t>6. Что имеет смысл заимствовать (для гл. 3 НИР)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Беларусь, п. 35 Инстр. 175: легализовать электронный журнал при идентификации, метке времени и защите от правок — без обязательной УКЭП у каждого рабочего.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Инструкция № 175, актуальный PDF Минтруда (п. 35)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Германия: привязать электронный инструктаж к оценке рисков (содержание, не «галочка»).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27">
        <w:r>
          <w:rPr>
            <w:color w:val="0563C1"/>
            <w:u w:val="single"/>
            <w:sz w:val="18"/>
            <w:rFonts w:ascii="Calibri" w:hAnsi="Calibri"/>
          </w:rPr>
          <w:t xml:space="preserve">BAG 1 ABR 104/09 (11.01.2011)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6">
        <w:r>
          <w:rPr>
            <w:color w:val="0563C1"/>
            <w:u w:val="single"/>
            <w:sz w:val="18"/>
            <w:rFonts w:ascii="Calibri" w:hAnsi="Calibri"/>
          </w:rPr>
          <w:t xml:space="preserve">ArbSchG (gesetze-im-internet)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28">
        <w:r>
          <w:rPr>
            <w:color w:val="0563C1"/>
            <w:u w:val="single"/>
            <w:sz w:val="18"/>
            <w:rFonts w:ascii="Calibri" w:hAnsi="Calibri"/>
          </w:rPr>
          <w:t xml:space="preserve">ArbSchG § 12 — Unterweisung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Испания, LEC 326.4: презумпция для журнала, подписанного УКЭП / квалифицированной меткой времени ответственным лицом.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24">
        <w:r>
          <w:rPr>
            <w:color w:val="0563C1"/>
            <w:u w:val="single"/>
            <w:sz w:val="18"/>
            <w:rFonts w:ascii="Calibri" w:hAnsi="Calibri"/>
          </w:rPr>
          <w:t xml:space="preserve">Ley 6/2020 (BOE) — правка LEC 326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7">
        <w:r>
          <w:rPr>
            <w:color w:val="0563C1"/>
            <w:u w:val="single"/>
            <w:sz w:val="18"/>
            <w:rFonts w:ascii="Calibri" w:hAnsi="Calibri"/>
          </w:rPr>
          <w:t xml:space="preserve">LEC, art. 326 (BOE, текст кодекса)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Франция, 21‑19.841 и 24‑21.034: скан ≠ ЭП; презумпция только у квалифицированной подписи.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20">
        <w:r>
          <w:rPr>
            <w:color w:val="0563C1"/>
            <w:u w:val="single"/>
            <w:sz w:val="18"/>
            <w:rFonts w:ascii="Calibri" w:hAnsi="Calibri"/>
          </w:rPr>
          <w:t xml:space="preserve">Cass. 3e civ., 5 mars 2026, n° 24‑21.034 (Legalis)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29">
        <w:r>
          <w:rPr>
            <w:color w:val="0563C1"/>
            <w:u w:val="single"/>
            <w:sz w:val="18"/>
            <w:rFonts w:ascii="Calibri" w:hAnsi="Calibri"/>
          </w:rPr>
          <w:t xml:space="preserve">Cass. soc. 28.02.2024, n° 22‑15.624 (обзор)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30">
        <w:r>
          <w:rPr>
            <w:color w:val="0563C1"/>
            <w:u w:val="single"/>
            <w:sz w:val="18"/>
            <w:rFonts w:ascii="Calibri" w:hAnsi="Calibri"/>
          </w:rPr>
          <w:t xml:space="preserve">Cass. soc. 14.12.2022, n° 21‑19.841 (KPMG)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Сербия: если оставлять исключения, делать их точечными (обучение), а не широкими (все документы ОТ + акты НС).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5">
        <w:r>
          <w:rPr>
            <w:color w:val="0563C1"/>
            <w:u w:val="single"/>
            <w:sz w:val="18"/>
            <w:rFonts w:ascii="Calibri" w:hAnsi="Calibri"/>
          </w:rPr>
          <w:t xml:space="preserve">Закон о БЗР РС 35/2023 (Paragraf)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31">
        <w:r>
          <w:rPr>
            <w:color w:val="0563C1"/>
            <w:u w:val="single"/>
            <w:sz w:val="18"/>
            <w:rFonts w:ascii="Calibri" w:hAnsi="Calibri"/>
          </w:rPr>
          <w:t xml:space="preserve">Lexology: новые правилники ОТ, Form 6, электроника + QES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Кения (от противного): не вводить 106B‑подобный барьер, иначе электронный журнал умрёт в процессе.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25">
        <w:r>
          <w:rPr>
            <w:color w:val="0563C1"/>
            <w:u w:val="single"/>
            <w:sz w:val="18"/>
            <w:rFonts w:ascii="Calibri" w:hAnsi="Calibri"/>
          </w:rPr>
          <w:t xml:space="preserve">Evidence Act Cap 80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26">
        <w:r>
          <w:rPr>
            <w:color w:val="0563C1"/>
            <w:u w:val="single"/>
            <w:sz w:val="18"/>
            <w:rFonts w:ascii="Calibri" w:hAnsi="Calibri"/>
          </w:rPr>
          <w:t xml:space="preserve">Evidence Act Cap 80, s. 106B (lex)</w:t>
        </w:r>
      </w:hyperlink>
    </w:p>
    <w:p>
      <w:pPr>
        <w:pStyle w:val="Heading1"/>
      </w:pPr>
      <w:r>
        <w:t>7. Что не переносить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Немецкий отказ от подписи на инструктаже — без российских компенсаторов журнал исторически главное доказательство.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27">
        <w:r>
          <w:rPr>
            <w:color w:val="0563C1"/>
            <w:u w:val="single"/>
            <w:sz w:val="18"/>
            <w:rFonts w:ascii="Calibri" w:hAnsi="Calibri"/>
          </w:rPr>
          <w:t xml:space="preserve">BAG 1 ABR 104/09 (11.01.2011)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6">
        <w:r>
          <w:rPr>
            <w:color w:val="0563C1"/>
            <w:u w:val="single"/>
            <w:sz w:val="18"/>
            <w:rFonts w:ascii="Calibri" w:hAnsi="Calibri"/>
          </w:rPr>
          <w:t xml:space="preserve">ArbSchG (gesetze-im-internet)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28">
        <w:r>
          <w:rPr>
            <w:color w:val="0563C1"/>
            <w:u w:val="single"/>
            <w:sz w:val="18"/>
            <w:rFonts w:ascii="Calibri" w:hAnsi="Calibri"/>
          </w:rPr>
          <w:t xml:space="preserve">ArbSchG § 12 — Unterweisung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Испанскую мягкость к pantallazos WhatsApp — на журналы ОТ.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32">
        <w:r>
          <w:rPr>
            <w:color w:val="0563C1"/>
            <w:u w:val="single"/>
            <w:sz w:val="18"/>
            <w:rFonts w:ascii="Calibri" w:hAnsi="Calibri"/>
          </w:rPr>
          <w:t xml:space="preserve">STS 116/2025, обзор LegalToday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Кенийский 106B как универсальное условие допустимости.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25">
        <w:r>
          <w:rPr>
            <w:color w:val="0563C1"/>
            <w:u w:val="single"/>
            <w:sz w:val="18"/>
            <w:rFonts w:ascii="Calibri" w:hAnsi="Calibri"/>
          </w:rPr>
          <w:t xml:space="preserve">Evidence Act Cap 80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26">
        <w:r>
          <w:rPr>
            <w:color w:val="0563C1"/>
            <w:u w:val="single"/>
            <w:sz w:val="18"/>
            <w:rFonts w:ascii="Calibri" w:hAnsi="Calibri"/>
          </w:rPr>
          <w:t xml:space="preserve">Evidence Act Cap 80, s. 106B (lex)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Сербский процессуальный формализм «e‑mail без QES не существует» — на все внутренние регистры ОТ.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9">
        <w:r>
          <w:rPr>
            <w:color w:val="0563C1"/>
            <w:u w:val="single"/>
            <w:sz w:val="18"/>
            <w:rFonts w:ascii="Calibri" w:hAnsi="Calibri"/>
          </w:rPr>
          <w:t xml:space="preserve">Закон об электронном документе РС 94/2017 (Paragraf)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33">
        <w:r>
          <w:rPr>
            <w:color w:val="0563C1"/>
            <w:u w:val="single"/>
            <w:sz w:val="18"/>
            <w:rFonts w:ascii="Calibri" w:hAnsi="Calibri"/>
          </w:rPr>
          <w:t xml:space="preserve">Подача жалобы e‑mail / QES, Конституционный суд, XI.2023 (обзор PR Legal)</w:t>
        </w:r>
      </w:hyperlink>
    </w:p>
    <w:p>
      <w:pPr>
        <w:pStyle w:val="Heading1"/>
      </w:pPr>
      <w:r>
        <w:t>8. Источники по РФ и по семёрке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06.04.2011 № 63‑ФЗ «Об электронной подписи»: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Ст. 7 63‑ФЗ — признание иностранных электронных подписей: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ТК РФ, ст. 22.1–22.3 (кадровый ЭДО):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04.08.2026 № 315‑ФЗ (УКЭП международных организаций):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http://kremlin.ru/acts/news/80444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Решение Коллегии ЕЭК от 22.08.2023 № 120 (ДТС ЕАЭС):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https://docs.eaeunion.org/documents/414/7596/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ТК РФ, ст. 22.1 ч. 3 (исключения из кадрового ЭДО):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ПП РФ от 24.12.2021 № 2464 (обучение по охране труда):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https://www.consultant.ru/document/cons_doc_LAW_405146/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eIDAS (EU) 910/2014, EUR-Lex: </w:t>
      </w:r>
      <w:hyperlink r:id="rId34">
        <w:r>
          <w:rPr>
            <w:color w:val="0563C1"/>
            <w:u w:val="single"/>
            <w:sz w:val="22"/>
            <w:rFonts w:ascii="Calibri" w:hAnsi="Calibri"/>
          </w:rPr>
          <w:t xml:space="preserve">https://eur-lex.europa.eu/legal-content/EN/TXT/?uri=CELEX:32014R0910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BAG 1 ABR 104/09 (11.01.2011): </w:t>
      </w:r>
      <w:hyperlink r:id="rId27">
        <w:r>
          <w:rPr>
            <w:color w:val="0563C1"/>
            <w:u w:val="single"/>
            <w:sz w:val="22"/>
            <w:rFonts w:ascii="Calibri" w:hAnsi="Calibri"/>
          </w:rPr>
          <w:t xml:space="preserve">https://www.bundesarbeitsgericht.de/entscheidung/1-abr-104-09/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Закон РБ № 113‑З (pravo.by): </w:t>
      </w:r>
      <w:hyperlink r:id="rId18">
        <w:r>
          <w:rPr>
            <w:color w:val="0563C1"/>
            <w:u w:val="single"/>
            <w:sz w:val="22"/>
            <w:rFonts w:ascii="Calibri" w:hAnsi="Calibri"/>
          </w:rPr>
          <w:t xml:space="preserve">https://pravo.by/document/?guid=3871&amp;p0=H10900113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Инструкция № 175, актуальный PDF Минтруда (п. 35):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https://www.mintrud.gov.by/uploads/files/MTiSZ-175-po-sost.-na-02.09.2024.pdf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Закон об электронном документе РС 94/2017 (Paragraf): </w:t>
      </w:r>
      <w:hyperlink r:id="rId19">
        <w:r>
          <w:rPr>
            <w:color w:val="0563C1"/>
            <w:u w:val="single"/>
            <w:sz w:val="22"/>
            <w:rFonts w:ascii="Calibri" w:hAnsi="Calibri"/>
          </w:rPr>
          <w:t xml:space="preserve">https://www.paragraf.rs/propisi/zakon_o_elektronskom_dokumentu_elektronskoj_identifikaciji_i_uslugama_od_poverenja_u_elektronskom_poslovanju.html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Закон о БЗР РС 35/2023 (Paragraf):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 xml:space="preserve">https://www.paragraf.rs/propisi/zakon-o-bezbednosti-i-zdravlju-na-radu.html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Ley 6/2020 (BOE) — правка LEC 326: </w:t>
      </w:r>
      <w:hyperlink r:id="rId24">
        <w:r>
          <w:rPr>
            <w:color w:val="0563C1"/>
            <w:u w:val="single"/>
            <w:sz w:val="22"/>
            <w:rFonts w:ascii="Calibri" w:hAnsi="Calibri"/>
          </w:rPr>
          <w:t xml:space="preserve">https://www.boe.es/eli/es/l/2020/11/11/6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LPRL 31/1995 (BOE): </w:t>
      </w:r>
      <w:hyperlink r:id="rId35">
        <w:r>
          <w:rPr>
            <w:color w:val="0563C1"/>
            <w:u w:val="single"/>
            <w:sz w:val="22"/>
            <w:rFonts w:ascii="Calibri" w:hAnsi="Calibri"/>
          </w:rPr>
          <w:t xml:space="preserve">https://www.boe.es/buscar/act.php?id=BOE-A-1995-24292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ECA 2000, section 9: </w:t>
      </w:r>
      <w:hyperlink r:id="rId22">
        <w:r>
          <w:rPr>
            <w:color w:val="0563C1"/>
            <w:u w:val="single"/>
            <w:sz w:val="22"/>
            <w:rFonts w:ascii="Calibri" w:hAnsi="Calibri"/>
          </w:rPr>
          <w:t xml:space="preserve">https://www.irishstatutebook.ie/eli/2000/act/27/section/9/enacted/en/html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Redmond v Tallaght University Hospital [2024] IEHC 167: </w:t>
      </w:r>
      <w:hyperlink r:id="rId36">
        <w:r>
          <w:rPr>
            <w:color w:val="0563C1"/>
            <w:u w:val="single"/>
            <w:sz w:val="22"/>
            <w:rFonts w:ascii="Calibri" w:hAnsi="Calibri"/>
          </w:rPr>
          <w:t xml:space="preserve">https://www.bailii.org/ie/cases/IEHC/2024/2024IEHC167.html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Cass. 3e civ., 5 mars 2026, n° 24‑21.034 (Legalis): </w:t>
      </w:r>
      <w:hyperlink r:id="rId20">
        <w:r>
          <w:rPr>
            <w:color w:val="0563C1"/>
            <w:u w:val="single"/>
            <w:sz w:val="22"/>
            <w:rFonts w:ascii="Calibri" w:hAnsi="Calibri"/>
          </w:rPr>
          <w:t xml:space="preserve">https://www.legalis.net/jurisprudences/cour-de-cassation-civile-ch-civile-3-arret-du-5-mars-2026/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Code du travail L. 4121‑1 (Légifrance): </w:t>
      </w:r>
      <w:hyperlink r:id="rId21">
        <w:r>
          <w:rPr>
            <w:color w:val="0563C1"/>
            <w:u w:val="single"/>
            <w:sz w:val="22"/>
            <w:rFonts w:ascii="Calibri" w:hAnsi="Calibri"/>
          </w:rPr>
          <w:t xml:space="preserve">https://www.legifrance.gouv.fr/codes/article_lc/LEGIARTI000006903144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[2025] KEELC 392 (Kenya Law): </w:t>
      </w:r>
      <w:hyperlink r:id="rId37">
        <w:r>
          <w:rPr>
            <w:color w:val="0563C1"/>
            <w:u w:val="single"/>
            <w:sz w:val="22"/>
            <w:rFonts w:ascii="Calibri" w:hAnsi="Calibri"/>
          </w:rPr>
          <w:t xml:space="preserve">https://new.kenyalaw.org/akn/ke/judgment/keelc/2025/392/eng@2025-02-06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OSHA 2007 (Kenya Law): </w:t>
      </w:r>
      <w:hyperlink r:id="rId38">
        <w:r>
          <w:rPr>
            <w:color w:val="0563C1"/>
            <w:u w:val="single"/>
            <w:sz w:val="22"/>
            <w:rFonts w:ascii="Calibri" w:hAnsi="Calibri"/>
          </w:rPr>
          <w:t xml:space="preserve">https://new.kenyalaw.org/akn/ke/act/2007/15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112701/" TargetMode="External"/><Relationship Id="rId10" Type="http://schemas.openxmlformats.org/officeDocument/2006/relationships/hyperlink" Target="https://www.consultant.ru/document/cons_doc_LAW_34683/" TargetMode="External"/><Relationship Id="rId11" Type="http://schemas.openxmlformats.org/officeDocument/2006/relationships/hyperlink" Target="http://kremlin.ru/acts/news/80444" TargetMode="External"/><Relationship Id="rId12" Type="http://schemas.openxmlformats.org/officeDocument/2006/relationships/hyperlink" Target="https://docs.eaeunion.org/documents/414/7596/" TargetMode="External"/><Relationship Id="rId13" Type="http://schemas.openxmlformats.org/officeDocument/2006/relationships/hyperlink" Target="https://www.consultant.ru/document/cons_doc_LAW_405146/" TargetMode="External"/><Relationship Id="rId14" Type="http://schemas.openxmlformats.org/officeDocument/2006/relationships/hyperlink" Target="https://www.mintrud.gov.by/uploads/files/MTiSZ-175-po-sost.-na-02.09.2024.pdf" TargetMode="External"/><Relationship Id="rId15" Type="http://schemas.openxmlformats.org/officeDocument/2006/relationships/hyperlink" Target="https://www.paragraf.rs/propisi/zakon-o-bezbednosti-i-zdravlju-na-radu.html" TargetMode="External"/><Relationship Id="rId16" Type="http://schemas.openxmlformats.org/officeDocument/2006/relationships/hyperlink" Target="https://www.gesetze-im-internet.de/arbschg/" TargetMode="External"/><Relationship Id="rId17" Type="http://schemas.openxmlformats.org/officeDocument/2006/relationships/hyperlink" Target="https://www.boe.es/buscar/act.php?id=BOE-A-2000-323#a326" TargetMode="External"/><Relationship Id="rId18" Type="http://schemas.openxmlformats.org/officeDocument/2006/relationships/hyperlink" Target="https://pravo.by/document/?guid=3871&amp;p0=H10900113" TargetMode="External"/><Relationship Id="rId19" Type="http://schemas.openxmlformats.org/officeDocument/2006/relationships/hyperlink" Target="https://www.paragraf.rs/propisi/zakon_o_elektronskom_dokumentu_elektronskoj_identifikaciji_i_uslugama_od_poverenja_u_elektronskom_poslovanju.html" TargetMode="External"/><Relationship Id="rId20" Type="http://schemas.openxmlformats.org/officeDocument/2006/relationships/hyperlink" Target="https://www.legalis.net/jurisprudences/cour-de-cassation-civile-ch-civile-3-arret-du-5-mars-2026/" TargetMode="External"/><Relationship Id="rId21" Type="http://schemas.openxmlformats.org/officeDocument/2006/relationships/hyperlink" Target="https://www.legifrance.gouv.fr/codes/article_lc/LEGIARTI000006903144" TargetMode="External"/><Relationship Id="rId22" Type="http://schemas.openxmlformats.org/officeDocument/2006/relationships/hyperlink" Target="https://www.irishstatutebook.ie/eli/2000/act/27/section/9/enacted/en/html" TargetMode="External"/><Relationship Id="rId23" Type="http://schemas.openxmlformats.org/officeDocument/2006/relationships/hyperlink" Target="https://www.irishstatutebook.ie/eli/2000/act/27/section/13/enacted/en/html" TargetMode="External"/><Relationship Id="rId24" Type="http://schemas.openxmlformats.org/officeDocument/2006/relationships/hyperlink" Target="https://www.boe.es/eli/es/l/2020/11/11/6" TargetMode="External"/><Relationship Id="rId25" Type="http://schemas.openxmlformats.org/officeDocument/2006/relationships/hyperlink" Target="https://new.kenyalaw.org/akn/ke/act/1963/46" TargetMode="External"/><Relationship Id="rId26" Type="http://schemas.openxmlformats.org/officeDocument/2006/relationships/hyperlink" Target="https://kenyalaw.org/lex/actview.xql?actid=CAP.+80" TargetMode="External"/><Relationship Id="rId27" Type="http://schemas.openxmlformats.org/officeDocument/2006/relationships/hyperlink" Target="https://www.bundesarbeitsgericht.de/entscheidung/1-abr-104-09/" TargetMode="External"/><Relationship Id="rId28" Type="http://schemas.openxmlformats.org/officeDocument/2006/relationships/hyperlink" Target="https://www.gesetze-im-internet.de/arbschg/__12.html" TargetMode="External"/><Relationship Id="rId29" Type="http://schemas.openxmlformats.org/officeDocument/2006/relationships/hyperlink" Target="https://www.lemag-juridique.com/articles/responsabilite-preuve-manquement-lemployeur-regles-prevention-securite-lorigine-laccident-travail-salarie-6418.htm" TargetMode="External"/><Relationship Id="rId30" Type="http://schemas.openxmlformats.org/officeDocument/2006/relationships/hyperlink" Target="https://kpmg.com/av/fr/avocats/eclairages/2023/01/valeur-juridique-de-la-signature-numerisee.html" TargetMode="External"/><Relationship Id="rId31" Type="http://schemas.openxmlformats.org/officeDocument/2006/relationships/hyperlink" Target="https://www.lexology.com/library/detail.aspx?g=123a20c5-c0a7-425d-8c37-c9892c70dc93" TargetMode="External"/><Relationship Id="rId32" Type="http://schemas.openxmlformats.org/officeDocument/2006/relationships/hyperlink" Target="https://www.legaltoday.com/practica-juridica/derecho-penal/valor-probatorio-de-los-pantallazos-de-conversaciones-de-whatsapp-o-sus-transcripciones-sts-116-2025-de-13-de-febrero-2025-09-29/" TargetMode="External"/><Relationship Id="rId33" Type="http://schemas.openxmlformats.org/officeDocument/2006/relationships/hyperlink" Target="https://www.prlegal.rs/filing-a-complaint-via-email-yes-it-is-possible/" TargetMode="External"/><Relationship Id="rId34" Type="http://schemas.openxmlformats.org/officeDocument/2006/relationships/hyperlink" Target="https://eur-lex.europa.eu/legal-content/EN/TXT/?uri=CELEX:32014R0910" TargetMode="External"/><Relationship Id="rId35" Type="http://schemas.openxmlformats.org/officeDocument/2006/relationships/hyperlink" Target="https://www.boe.es/buscar/act.php?id=BOE-A-1995-24292" TargetMode="External"/><Relationship Id="rId36" Type="http://schemas.openxmlformats.org/officeDocument/2006/relationships/hyperlink" Target="https://www.bailii.org/ie/cases/IEHC/2024/2024IEHC167.html" TargetMode="External"/><Relationship Id="rId37" Type="http://schemas.openxmlformats.org/officeDocument/2006/relationships/hyperlink" Target="https://new.kenyalaw.org/akn/ke/judgment/keelc/2025/392/eng@2025-02-06" TargetMode="External"/><Relationship Id="rId38" Type="http://schemas.openxmlformats.org/officeDocument/2006/relationships/hyperlink" Target="https://new.kenyalaw.org/akn/ke/act/2007/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