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США (ESIGN / UETA)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Сравнительный обзор с Российской Федерацией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ESIGN Act, 15 U.S.C. ch. 96; UETA (штаты; NY — ESRA)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Федеральный уровень — Electronic Signatures in Global and National Commerce Act (ESIGN, 15 U.S.C. chapter 96). На уровне штатов — Uniform Electronic Transactions Act (UETA); Нью‑Йорк использует собственный Electronic Signatures and Records Act (ESRA).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Ключевой принцип: контракт, подпись или запись не могут быть лишены юридической силы или исполнимости только потому, что они электронные.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Технологическая нейтральность: закон не предписывает PKI, квалифицированный сертификат или конкретный вендор. Достаточно электронной звуковой, символьной или процессной привязки, логически связанной с записью и сделанной с намерением подписать.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Сильный акцент на consumer consent: для потребительских сделок нужно согласие на электронную форму и возможность впоследствии получить запись в воспроизводимом виде.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Есть категории, где электронная форма ограничена или исключена (часть семейных, завещательных и подобных актов — по ESIGN/UETA).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Международный блок ESIGN ориентирует США не дискриминировать иностранные электронные подписи и следовать принципам UNCITRAL.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Недискриминация электронной формы на федеральном и штатном уровне.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Свобода выбора технологии подписания.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Акцент на согласии сторон и сохраняемости электронных записей.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Рынок коммерческих провайдеров вместо единой государственной системы квалифицированных УЦ.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Международный блок ESIGN поощряет недискриминацию иностранных электронных подписей.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04.08.2026 № 315‑ФЗ (УКЭП международных организаций)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5">
        <w:r>
          <w:rPr>
            <w:color w:val="0563C1"/>
            <w:u w:val="single"/>
            <w:sz w:val="18"/>
            <w:rFonts w:ascii="Calibri" w:hAnsi="Calibri"/>
          </w:rPr>
          <w:t xml:space="preserve">Решение Коллегии ЕЭК от 22.08.2023 № 120 (ДТС ЕАЭС)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Источники по РФ (для сверки):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22.1–22.3 (кадровый ЭДО):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04.08.2026 № 315‑ФЗ (УКЭП международных организаций):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Решение Коллегии ЕЭК от 22.08.2023 № 120 (ДТС ЕАЭС): </w:t>
      </w:r>
      <w:hyperlink r:id="rId15">
        <w:r>
          <w:rPr>
            <w:color w:val="0563C1"/>
            <w:u w:val="single"/>
            <w:sz w:val="22"/>
            <w:rFonts w:ascii="Calibri" w:hAnsi="Calibri"/>
          </w:rPr>
          <w:t xml:space="preserve">https://docs.eaeunion.org/documents/414/7596/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США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Договор/запись не лишаются силы только потому, что использованы электронная подпись или электронная запись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ESIGN Act, 15 U.S.C. Chapter 96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Модель подписи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Технологически нейтральная «электронная подпись»; нет обязательной иерархии QES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ПЭП / УНЭП / УКЭП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ФЗ от 06.04.2011 № 63‑ФЗ «Об электронной подписи»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Инфраструктура доверия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Рынок коммерческих провайдеров + отраслевые требования; нет федеральной системы квалифицированных УЦ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Аккредитованные УЦ, операторы ЭДО, УЦ ФНС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ESIGN Act, 15 U.S.C. Chapter 96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Трансграничность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ESIGN поощряет международное принятие ЭП на принципах недискриминации / UNCITRAL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Ст. 7 63‑ФЗ, договоры сторон, ДТС ЕАЭС; 315‑ФЗ — УКЭП международных организаций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Ст. 7 63‑ФЗ — признание иностранных электронных подписей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Главное отличие от РФ: США не требуют УКЭП / аккредитованного УЦ для силы большинства коммерческих документов.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Сходство: принцип недискриминации электронной формы; согласие на электронное взаимодействие важно и в РФ (особенно КЭДО).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В РФ сильнее государствоцентричная инфраструктура УЦ и операторов ЭДО; в США — договор и рынок.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Исключения электронной формы в США собраны системнее (семейное, наследственное и т.п.); в РФ исключения размазаны по отраслевым актам и ст. 22.1 ТК РФ.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Усилить требования к сохраняемости и воспроизводимости электронной записи (record retention / ability to accurately reproduce) — это часто решает судебный спор сильнее, чем вид подписи.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Явный короткий перечень исключений электронной формы в гражданском обороте, а не разрозненные отраслевые запреты.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низкорискового B2B не требовать УКЭП, если стороны согласовали УНЭП и могут воспроизвести запись.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ТК РФ, ст. 22.1–22.3 (кадровый ЭДО)</w:t>
        </w:r>
      </w:hyperlink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Полный отказ от иерархии ПЭП/УНЭП/УКЭП в пользу «американской» абсолютной нейтральности — разрушит B2G и защиту слабой стороны.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Отказаться от аккредитации УЦ: в РФ госорганы и ФНС опираются на квалифицированную инфраструктуру.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ESIGN Act, 15 U.S.C. Chapter 96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Uniform Electronic Transactions Act (ULC)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UNCITRAL MLEC 1996 (международная база ESIGN)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ESIGN Act, 15 U.S.C. Chapter 96: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https://www.law.cornell.edu/uscode/text/15/chapter-96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Uniform Electronic Transactions Act (ULC):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https://www.uniformlaws.org/committees/community-home?CommunityKey=2c04b76c-2b7d-4399-977e-d5876ba7e034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UNCITRAL MLEC 1996 (международная база ESIGN):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https://uncitral.un.org/en/texts/ecommerce/modellaw/electronic_commerce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aw.cornell.edu/uscode/text/15/chapter-96" TargetMode="External"/><Relationship Id="rId10" Type="http://schemas.openxmlformats.org/officeDocument/2006/relationships/hyperlink" Target="https://www.uniformlaws.org/committees/community-home?CommunityKey=2c04b76c-2b7d-4399-977e-d5876ba7e034" TargetMode="External"/><Relationship Id="rId11" Type="http://schemas.openxmlformats.org/officeDocument/2006/relationships/hyperlink" Target="https://uncitral.un.org/en/texts/ecommerce/modellaw/electronic_commerce" TargetMode="External"/><Relationship Id="rId12" Type="http://schemas.openxmlformats.org/officeDocument/2006/relationships/hyperlink" Target="https://www.consultant.ru/document/cons_doc_LAW_112701/" TargetMode="External"/><Relationship Id="rId13" Type="http://schemas.openxmlformats.org/officeDocument/2006/relationships/hyperlink" Target="https://www.consultant.ru/document/cons_doc_LAW_34683/" TargetMode="External"/><Relationship Id="rId14" Type="http://schemas.openxmlformats.org/officeDocument/2006/relationships/hyperlink" Target="http://kremlin.ru/acts/news/80444" TargetMode="External"/><Relationship Id="rId15" Type="http://schemas.openxmlformats.org/officeDocument/2006/relationships/hyperlink" Target="https://docs.eaeunion.org/documents/414/759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