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1F4E79"/>
          <w:sz w:val="32"/>
        </w:rPr>
        <w:t>ЭДО в охране труда: Китай (КНР)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Сравнительный обзор с Российской Федерацией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Документ посвящён электронному документообороту в охране труда (OSH/OT): журналы и записи инструктажей/обучения, оценка рисков, учёт травматизма, ознакомление с ЛНА по ОТ, взаимодействие с регулятором. Сравнение — с правовой моделью Российской Федерации.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1. Как устроен ЭДО в охране труда в этой юрисдикции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Закон КНР о безопасности производства (Work Safety Law) требует обучения, информирования и ведения документации по безопасности; формат всё чаще цифровизируется на уровне предприятий и отраслевых платформ.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Юридическая сила электронных записей и подписей — через Закон КНР «Об электронной подписи»: надёжная ЭП ≈ собственноручная/печать; стороны могут договориться об электронной форме.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На практике крупные предприятия ведут электронные системы safety training и electronic work permits; споры решаются через критерии надёжности подписи и сохранности данных.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2. Ключевые особенности именно для ОТ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Общие правила ЭП применяются к документам безопасности производства.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Сильный акцент государства на обучении и ответственности работодателя.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Цифровизация на уровне корпоративных платформ + лицензируемые CA.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3. База сравнения: ЭДО в охране труда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КЭДО (ст. 22.1–22.3 ТК РФ) в целом применим к кадровым/организационным документам по ОТ (приказы, инструкции, ознакомление с ЛНА), если они не входят в исключения.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Прямое исключение из КЭДО (ч. 3 ст. 22.1 ТК РФ): документы, подтверждающие прохождение инструктажей по охране труда (в т.ч. лично подписываемые работником), а также акты о несчастном случае на производстве.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Практика Минтруда / ГИТ: журналы инструктажей и аналогичные подтверждения прохождения инструктажа на текущий момент ориентированы на бумажный носитель с собственноручной подписью; «только ЭП вместо личной подписи» по правилам КЭДО — недопустимо.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Обучение по ОТ — Правила, утв. ПП РФ № 2464: программы, протоколы проверки знания, реестры обученных; часть процессов цифровизируется (в т.ч. взаимодействие с Минтрудом), но фиксация инструктажей остаётся «узким местом».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Общая рамка ЭП — ФЗ № 63‑ФЗ (ПЭП/УНЭП/УКЭП); для иных документов ОТ электронная форма возможна при соблюдении закона и ЛНА работодателя.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/>
          <w:i w:val="0"/>
          <w:sz w:val="22"/>
        </w:rPr>
        <w:t>Источники по РФ: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ТК РФ, ст. 22.1–22.3 (в т.ч. ч. 3 ст. 22.1 — исключения):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https://www.consultant.ru/document/cons_doc_LAW_34683/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ПП РФ № 2464 — Правила обучения по охране труда: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https://www.consultant.ru/document/cons_doc_LAW_405416/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ФЗ № 63‑ФЗ «Об электронной подписи»: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https://www.consultant.ru/document/cons_doc_LAW_112701/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ГАРАНТ — ознакомление с документами ОТ через ЭДО / позиция по журналам: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https://www.garant.ru/consult/work_law/1681574/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4. Сравнительный анализ с ЭДО в ОТ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 РФ: оба правопорядка требуют обучения по безопасности и фиксации; у РФ есть специальный запрет КЭДО на подтверждение инструктажей — у КНР такого явного «анти‑электронного» изъятия в базовом законе об ЭП нет.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Сходство: осторожность к чувствительным документам и роль сертификации подписи.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5. Что из этой практики можно добавить в РФ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Использовать общую модель 63‑ФЗ («надёжная/квалифицированная ЭП = собственноручная») и для журналов инструктажей — устранив специальное изъятие или сузив его только до случаев без идентификации.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Развивать корпоративные electronic permit‑to‑work с ЭП в опасных производствах (как в китайской индустриальной практике), согласованные с российскими правилами по видам работ.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6. Что не стоит переносить / что упростить у нас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заимствовать избыточную «платформизацию» без гарантий прав работника на доступ к своим записям обучения.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2"/>
        </w:rPr>
        <w:t>Не ослаблять расследование НС до «записи в приложении» без полноценного акта.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1F4E79"/>
          <w:sz w:val="28"/>
        </w:rPr>
        <w:t>7. Ссылки на источники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WIPO Lex — Electronic Signature Law of the PRC: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https://www.wipo.int/wipolex/en/text/199526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CNLegal — обзор Закона КНР об электронной подписи: </w:t>
      </w:r>
      <w:r>
        <w:rPr>
          <w:rFonts w:ascii="Times New Roman" w:hAnsi="Times New Roman" w:eastAsia="Times New Roman"/>
          <w:b w:val="0"/>
          <w:color w:val="0563C1"/>
          <w:sz w:val="22"/>
        </w:rPr>
        <w:t>https://cnlegal.ru/civil_law/china_digital_signature_law/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/>
          <w:sz w:val="22"/>
        </w:rPr>
        <w:t xml:space="preserve">NPC / Work Safety Law context (официальные публикации КНР — проверять актуальную редакцию): </w:t>
      </w:r>
      <w:r>
        <w:rPr>
          <w:rFonts w:ascii="Times New Roman" w:hAnsi="Times New Roman" w:eastAsia="Times New Roman"/>
          <w:b w:val="0"/>
          <w:color w:val="0563C1"/>
          <w:sz w:val="22"/>
        </w:rPr>
        <w:t>http://www.npc.gov.cn/</w:t>
      </w:r>
    </w:p>
    <w:p>
      <w:pPr>
        <w:spacing w:after="120" w:line="276" w:lineRule="auto"/>
      </w:pPr>
      <w:r>
        <w:rPr>
          <w:rFonts w:ascii="Times New Roman" w:hAnsi="Times New Roman" w:eastAsia="Times New Roman"/>
          <w:b w:val="0"/>
          <w:i/>
          <w:sz w:val="22"/>
        </w:rPr>
        <w:t>Примечание: обзор информационно‑аналитический, не является юридической консультацией. Актуальные редакции иностранных актов нужно сверять по официальным публикациям.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