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8"/>
        </w:rPr>
        <w:t>Сравнительный анализ условий реализации программ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sz w:val="24"/>
        </w:rPr>
        <w:t>(материально-техническая база, персонал, помещения)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 w:val="0"/>
          <w:sz w:val="22"/>
        </w:rPr>
        <w:t>Типовая ДПП «Специалист по пожарной профилактике» (приказ МЧС России от 05.09.2021 № 596, прил. № 5, в ред. приказа от 22.06.2026 № 457) и требования ФГОС ВО 20.05.01 / ФГОС СПО 20.02.04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4"/>
        </w:rPr>
        <w:t>1. Предмет сравнения и нормативная рамка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С вступлением в силу приказа МЧС России от 22.06.2026 № 457 глава IV приложения № 5 к приказу № 596 дополнена пунктом 14(1): кадровые, финансовые и материально-технические условия реализации Программы должны соответствовать требованиям: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ФГОС ВО — специалитет по специальности 20.05.01 «Пожарная безопасность» (приказ Минобрнауки России от 25.05.2020 № 679), ИЛИ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ФГОС СПО по специальности 20.02.04 «Пожарная безопасность» (приказ Минпросвещения России от 07.07.2022 № 537).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До введения п. 14(1) глава IV приложения № 5 содержала только методические требования к проведению занятий (выбор методов обучения, теоретические и практические занятия). Отдельных нормируемых требований к квалификации кадров, перечню лабораторий/помещений и составу МТБ в типовой программе не было.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4"/>
        </w:rPr>
        <w:t>2. Сводная сравнительная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2493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Текущая типовая программа</w:t>
              <w:br/>
              <w:t>(прил. № 5 к приказу № 596</w:t>
              <w:br/>
              <w:t>без детализации п. 14(1))</w:t>
            </w:r>
          </w:p>
        </w:tc>
        <w:tc>
          <w:tcPr>
            <w:tcW w:type="dxa" w:w="2493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ФГОС ВО 20.05.01</w:t>
              <w:br/>
              <w:t>(приказ № 679)</w:t>
            </w:r>
          </w:p>
        </w:tc>
        <w:tc>
          <w:tcPr>
            <w:tcW w:type="dxa" w:w="2493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ФГОС СПО 20.02.04</w:t>
              <w:br/>
              <w:t>(приказ № 537)</w:t>
            </w:r>
          </w:p>
        </w:tc>
      </w:tr>
      <w:tr>
        <w:tc>
          <w:tcPr>
            <w:tcW w:type="dxa" w:w="2493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Правовой режим условий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Методические нормы главы IV; с приказом № 457 — п. 14(1) отсылает к одному из ФГОС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Раздел IV ФГОС: общесистемные, МТБ, кадровые, финансовые условия обязательны для специалитета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П. 4.2–4.6 ФГОС: общесистемные, МТБ, кадровые, финансовые условия обязательны для СПО</w:t>
            </w:r>
          </w:p>
        </w:tc>
      </w:tr>
      <w:tr>
        <w:tc>
          <w:tcPr>
            <w:tcW w:type="dxa" w:w="2493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Помещения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нормированы. Упоминаются место проведения занятий, учебное оборудование и ТСО только в контексте методов обучения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Учебные аудитории для занятий по программе, оснащённые по РПД. Помещения самостоятельной работы — ПК, Интернет, доступ в ЭИОС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Специальные помещения: аудитории, лаборатории, мастерские для всех видов занятий, консультаций, контроля, промежуточной и ГИА; помещения самостоятельной и воспитательной работы</w:t>
            </w:r>
          </w:p>
        </w:tc>
      </w:tr>
      <w:tr>
        <w:tc>
          <w:tcPr>
            <w:tcW w:type="dxa" w:w="2493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МТБ (профиль)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Конкретный перечень лабораторий / полигонов / учебного оборудования не установлен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Минимальный обязательный перечень лабораторий:</w:t>
              <w:br/>
              <w:t>• теплотехники;</w:t>
              <w:br/>
              <w:t>• теории горения и взрыва;</w:t>
              <w:br/>
              <w:t>• противопожарного водоснабжения;</w:t>
              <w:br/>
              <w:t>• ПБ электроустановок;</w:t>
              <w:br/>
              <w:t>• зданий, сооружений и устойчивости при пожаре;</w:t>
              <w:br/>
              <w:t>• ПБ технологических процессов;</w:t>
              <w:br/>
              <w:t>• АСУ и связи;</w:t>
              <w:br/>
              <w:t>• производственной и пожарной автоматики;</w:t>
              <w:br/>
              <w:t>• пожарной техники;</w:t>
              <w:br/>
              <w:t>• учебной пожарной башни;</w:t>
              <w:br/>
              <w:t>• учебно-тренировочного комплекса для подготовки пожарных.</w:t>
              <w:br/>
              <w:t>Допускается замена оборудования виртуальными аналогами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Состав оборудования и ТСО определяется ОП/ПОП. Жёсткого перечня лабораторий в тексте ФГОС нет. МТБ должна обеспечивать все виды учебной деятельности, включая демонстрационный экзамен. Допускается замена оборудования виртуальными аналогами</w:t>
            </w:r>
          </w:p>
        </w:tc>
      </w:tr>
      <w:tr>
        <w:tc>
          <w:tcPr>
            <w:tcW w:type="dxa" w:w="2493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Право на базу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оговорено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Собственность или иное законное основание — для Блока 1 и ГИА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Собственность или иное законное основание — для всех видов учебной деятельности по учебному плану</w:t>
            </w:r>
          </w:p>
        </w:tc>
      </w:tr>
      <w:tr>
        <w:tc>
          <w:tcPr>
            <w:tcW w:type="dxa" w:w="2493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ЭИОС / библиотека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нормированы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Индивидуальный неограниченный доступ к ЭИОС; комплект ПО; библиотечный фонд ≥ 0,25 экз. на обучающегося; доступ к проф. БД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 наличии ЭИОС — доступ к ней; ПК+Интернет для самостоятельной работы; библиотечный фонд / ЭБС по правилам ФГОС (в т.ч. одновременный доступ ≥ 25% при замене печатного фонда)</w:t>
            </w:r>
          </w:p>
        </w:tc>
      </w:tr>
      <w:tr>
        <w:tc>
          <w:tcPr>
            <w:tcW w:type="dxa" w:w="2493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Кто обеспечивает реализацию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Только «преподаватель» в методических нормах; требования к образованию, степени, стажу не заданы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Педагогические работники организации + лица на иных условиях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Педагогические работники + лица на иных условиях, в т.ч. из профильных организаций (стаж в профобласти ≥ 3 лет)</w:t>
            </w:r>
          </w:p>
        </w:tc>
      </w:tr>
      <w:tr>
        <w:tc>
          <w:tcPr>
            <w:tcW w:type="dxa" w:w="2493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Квалификация педагогов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нормирована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квалификационным справочникам и (или) профстандартам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квалификационным справочникам и (или) профстандартам; ПК не реже 1 раза в 3 года (в т.ч. стажировка)</w:t>
            </w:r>
          </w:p>
        </w:tc>
      </w:tr>
      <w:tr>
        <w:tc>
          <w:tcPr>
            <w:tcW w:type="dxa" w:w="2493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Доли «профильных» / практикующих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нормированы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≥ 70% — научная, учебно-методическая и (или) практическая работа по профилю дисциплины;</w:t>
              <w:br/>
              <w:t>≥ 5% — руководители/работники иных организаций профсферы (стаж ≥ 3 лет);</w:t>
              <w:br/>
              <w:t>≥ 60% — учёная степень и (или) учёное звание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≥ 25% педагогических работников, обеспечивающих освоение профмодулей, — опыт деятельности ≥ 3 лет в профильных организациях</w:t>
            </w:r>
          </w:p>
        </w:tc>
      </w:tr>
      <w:tr>
        <w:tc>
          <w:tcPr>
            <w:tcW w:type="dxa" w:w="2493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Финансовые условия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До п. 14(1) не нормировались; п. 14(1) включает финансы в отсылку к ФГОС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ниже базовых нормативов затрат Минобрнауки на специалитет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Не ниже объёма, определённого бюджетным законодательством и 273-ФЗ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4"/>
        </w:rPr>
        <w:t>3. Ключевые выводы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1. Разрыв «было → стало». До приказа № 457 типовая программа фактически не устанавливала измеримых требований к кадрам, помещениям и МТБ. После п. 14(1) организация обязана обеспечить условия на уровне одного из двух ФГОС — по своему выбору (ВО или СПО).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2. ФГОС ВО 20.05.01 — более жёсткий по МТБ и кадрам. Требует фиксированный перечень профильных лабораторий (включая учебную пожарную башню и учебно-тренировочный комплекс), ЭИОС и высокие кадровые пороги (≥ 70% по профилю работы, ≥ 60% со степенью/званием, ≥ 5% практиков). Для типичного учебного центра ДПО это, как правило, избыточно без вуза или сетевой формы.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3. ФГОС СПО 20.02.04 — более реалистичный ориентир для ДПО-центров. Нет жёсткого перечня лабораторий в тексте стандарта; акцент на наличии аудиторий/лабораторий/мастерских под все виды занятий и на кадрах с практическим опытом (≥ 25% по профмодулям, стаж ≥ 3 лет, ПК не реже 1 раза в 3 года). Состав оборудования детализируется через ПОП/ОП.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4. Практическая рекомендация. Для программ профпереподготовки «Специалист по пожарной профилактике» целесообразно принимать за базовый ориентир соответствия п. 14(1) требования ФГОС СПО 20.02.04; ФГОС ВО 20.05.01 — при реализации на базе вуза или в сетевой форме с организацией, имеющей полный лабораторный комплекс.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5. Что проверить в первую очередь при приведении текущих программ к п. 14(1):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кадры — профильная квалификация по справочникам/профстандартам; доля практиков; график повышения квалификации;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помещения — аудитории для теории и практики, места самостоятельной работы с ПК и Интернетом;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МТБ — оборудование и ТСО под темы программы; при выборе ВО — закрытие перечня лабораторий либо виртуальные аналоги / сетевая форма;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• финансы — обеспечение реализации в объёме не ниже требований выбранного ФГОС.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4"/>
        </w:rPr>
        <w:t>4. Ограничение анализа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Анализ выполнен по типовым условиям приложения № 5 к приказу № 596 и текстам ФГОС. Фактическое оснащение конкретной образовательной организации здесь не оценивалось; для локальной программы нужна сверка штатного расписания, паспортов кабинетов и перечня оборудования с выбранным ФГОС.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