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Проект правок: ч. 3 ст. 22.1 ТК РФ и ПП № 2464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Текст для § 3.6 НИР. Не законопроект к внесению, а рабочая формулировка de lege ferenda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pPr>
        <w:pStyle w:val="Heading1"/>
      </w:pPr>
      <w:r>
        <w:t>1. Зачем две правки, а не одна</w:t>
      </w:r>
    </w:p>
    <w:p>
      <w:r>
        <w:rPr>
          <w:rFonts w:ascii="Calibri" w:hAnsi="Calibri" w:eastAsia="Calibri"/>
          <w:b w:val="0"/>
          <w:i w:val="0"/>
          <w:sz w:val="24"/>
        </w:rPr>
        <w:t>Ч. 3 ст. 22.1 ТК выводит журналы инструктажа из кадрового ЭДО. ПП 2464 при этом уже разрешает электронный протокол проверки знания (п. 91–93). Работодатель оказывается в разрыве: обучение можно закрыть электронным протоколом, а инструктаж на рабочем месте — только бумажным журналом. Акт о несчастном случае Минтруд объясняет иначе: бумага нужна, чтобы документ нельзя было менять задним числом в короткие сроки защиты прав (письмо 14‑6/ООГ‑97). Поэтому журнал и акт НС нельзя «освобождать» одной фразой.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ПП РФ № 2464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Письмо Минтруда от 12.01.2023 № 14‑6/ООГ‑97</w:t>
        </w:r>
      </w:hyperlink>
    </w:p>
    <w:p>
      <w:pPr>
        <w:pStyle w:val="Heading1"/>
      </w:pPr>
      <w:r>
        <w:t>2. Действующая норма (ориентир)</w:t>
      </w:r>
    </w:p>
    <w:p>
      <w:r>
        <w:rPr>
          <w:rFonts w:ascii="Calibri" w:hAnsi="Calibri" w:eastAsia="Calibri"/>
          <w:b w:val="0"/>
          <w:i w:val="0"/>
          <w:sz w:val="24"/>
        </w:rPr>
        <w:t>Часть 3 ст. 22.1 ТК РФ: положения об ЭДО не применяются, в числе прочего, к акту о несчастном случае на производстве по установленной форме и к документам, подтверждающим прохождение работником инструктажей по охране труда, в том числе лично подписываемым работником.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</w:t>
        </w:r>
      </w:hyperlink>
    </w:p>
    <w:p>
      <w:pPr>
        <w:pStyle w:val="Heading1"/>
      </w:pPr>
      <w:r>
        <w:t>3. Вариант A — уточнить ч. 3 ст. 22.1 ТК РФ</w:t>
      </w:r>
    </w:p>
    <w:p>
      <w:r>
        <w:rPr>
          <w:rFonts w:ascii="Calibri" w:hAnsi="Calibri" w:eastAsia="Calibri"/>
          <w:b w:val="0"/>
          <w:i w:val="0"/>
          <w:sz w:val="24"/>
        </w:rPr>
        <w:t>Предлагаемая рабочая формулировка (дополнение после перечня исключений новым абзацем):</w:t>
      </w:r>
    </w:p>
    <w:p>
      <w:r>
        <w:rPr>
          <w:rFonts w:ascii="Calibri" w:hAnsi="Calibri" w:eastAsia="Calibri"/>
          <w:b w:val="0"/>
          <w:i w:val="0"/>
          <w:sz w:val="24"/>
        </w:rPr>
        <w:t>«Положения настоящей статьи и статей 22.2 и 22.3 настоящего Кодекса применяются к документам, подтверждающим прохождение работником инструктажей по охране труда, если такие документы ведутся в электронной форме с использованием программных средств, которые: 1) однозначно идентифицируют работника и лицо, проводившее инструктаж; 2) фиксируют дату и время внесения записи; 3) исключают несанкционированное изменение записи либо обеспечивают неизменяемый журнал событий (audit trail); 4) позволяют воспроизвести запись в течение сроков хранения, установленных законодательством об архивном деле. Электронная подпись работника не является обязательной, если идентификация обеспечена иным способом, предусмотренным локальным нормативным актом работодателя и не противоречащим настоящему Кодексу. На акт о несчастном случае на производстве по установленной форме настоящий абзац не распространяется.»</w:t>
      </w:r>
    </w:p>
    <w:p>
      <w:r>
        <w:rPr>
          <w:rFonts w:ascii="Calibri" w:hAnsi="Calibri" w:eastAsia="Calibri"/>
          <w:b w:val="0"/>
          <w:i w:val="0"/>
          <w:sz w:val="24"/>
        </w:rPr>
        <w:t>Образец условий 1–3 — пункт 35 Инструкции Минтруда Беларуси № 175 (электронная регистрация инструктажа без обязательной ЭЦП у каждого рабочего в актуальной редакции).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Инструкция Минтруда РБ № 175, п. 35</w:t>
        </w:r>
      </w:hyperlink>
    </w:p>
    <w:p>
      <w:pPr>
        <w:pStyle w:val="Heading1"/>
      </w:pPr>
      <w:r>
        <w:t>4. Вариант B — не трогать ТК, дописать ПП 2464</w:t>
      </w:r>
    </w:p>
    <w:p>
      <w:r>
        <w:rPr>
          <w:rFonts w:ascii="Calibri" w:hAnsi="Calibri" w:eastAsia="Calibri"/>
          <w:b w:val="0"/>
          <w:i w:val="0"/>
          <w:sz w:val="24"/>
        </w:rPr>
        <w:t>Если политически проще не открывать ТК, в Правила обучения (ПП 2464) после норм о регистрации инструктажа (п. 87 и сл.) можно добавить:</w:t>
      </w:r>
    </w:p>
    <w:p>
      <w:r>
        <w:rPr>
          <w:rFonts w:ascii="Calibri" w:hAnsi="Calibri" w:eastAsia="Calibri"/>
          <w:b w:val="0"/>
          <w:i w:val="0"/>
          <w:sz w:val="24"/>
        </w:rPr>
        <w:t>«Регистрация вводного, первичного, повторного, внепланового и целевого инструктажей по охране труда допускается в электронном виде при соблюдении требований части третьей статьи 22.1 Трудового кодекса Российской Федерации в редакции, допускающей такую регистрацию, либо — до изменения Кодекса — параллельно с бумажным журналом как внутренний учёт работодателя, не заменяющий установленную бумажную форму. Электронный протокол проверки знания требований охраны труда ведётся в порядке пунктов 91–93 настоящих Правил и не подменяет регистрацию инструктажа на рабочем месте.»</w:t>
      </w:r>
    </w:p>
    <w:p>
      <w:r>
        <w:rPr>
          <w:rFonts w:ascii="Calibri" w:hAnsi="Calibri" w:eastAsia="Calibri"/>
          <w:b w:val="0"/>
          <w:i w:val="0"/>
          <w:sz w:val="24"/>
        </w:rPr>
        <w:t>Пока ч. 3 ст. 22.1 не изменена, вариант B не легализует e‑журнал как юридический заменитель бумаги: он только фиксирует различие протокола и журнала. Для полноценного ЭДО журнала нужен вариант A (или одновременное изменение ТК и 2464).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ПП РФ № 2464</w:t>
        </w:r>
      </w:hyperlink>
    </w:p>
    <w:p>
      <w:pPr>
        <w:pStyle w:val="Heading1"/>
      </w:pPr>
      <w:r>
        <w:t>5. Что не включать в эту правку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Не распространять «лёгкий» электронный журнал на акт НС — у него другой процессуальный вес (письмо 14‑6/ООГ‑97).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Письмо Минтруда от 12.01.2023 № 14‑6/ООГ‑97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Не требовать УКЭП у каждого рабочего: это убьёт массовый инструктаж. Достаточно идентификации + метки времени + целостности, как в Беларуси.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Инструкция Минтруда РБ № 175, п. 35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Не копировать кенийский сертификат компьютера (106B) как условие каждой отметки.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Не отменять подтверждение работника совсем по немецкой модели без российских компенсаторов: журнал у нас исторически главное доказательство допуска.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ВС РФ от 06.09.2024 № 49‑АД24‑22‑К6 (обзор)</w:t>
        </w:r>
      </w:hyperlink>
    </w:p>
    <w:p>
      <w:pPr>
        <w:pStyle w:val="Heading1"/>
      </w:pPr>
      <w:r>
        <w:t>6. Сопутствующие реквизиты электронной записи (для ЛНА / 2464)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идентификатор работника и инструктирующего;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дата, время, вид инструктажа;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наименование ЛНА / программы в объёме требований которых проведён инструктаж (п. 87 Правил № 2464; ВС 49‑АД24‑22‑К6);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привязка к рабочему месту / операции / карте ОПР;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неизменяемость или audit trail;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срок хранения 45 лет для журналов инструктажа (приказ Росархива № 236, п. 423 «а»).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ПП РФ № 2464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ВС РФ от 06.09.2024 № 49‑АД24‑22‑К6 (обзор)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Приказ Росархива от 20.12.2019 № 236</w:t>
        </w:r>
      </w:hyperlink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ТК РФ, ст. 22.1–22.3: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ПП РФ № 2464: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https://www.consultant.ru/document/cons_doc_LAW_405146/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Письмо Минтруда от 12.01.2023 № 14‑6/ООГ‑97: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https://base.garant.ru/406201483/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Письмо Минтруда от 30.05.2022 № 15‑2/В‑1677 (PDF):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 xml:space="preserve">https://dou.su/files/docs/MSG_MT_30_05_2022_15_2.pdf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Инструкция Минтруда РБ № 175, п. 35: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https://www.mintrud.gov.by/uploads/files/MTiSZ-175-po-sost.-na-02.09.2024.pdf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ВС РФ от 06.09.2024 № 49‑АД24‑22‑К6 (обзор):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https://www.garant.ru/news/1759182/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Приказ Росархива от 20.12.2019 № 236: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https://base.garant.ru/73524230/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34683/" TargetMode="External"/><Relationship Id="rId10" Type="http://schemas.openxmlformats.org/officeDocument/2006/relationships/hyperlink" Target="https://www.consultant.ru/document/cons_doc_LAW_405146/" TargetMode="External"/><Relationship Id="rId11" Type="http://schemas.openxmlformats.org/officeDocument/2006/relationships/hyperlink" Target="https://base.garant.ru/406201483/" TargetMode="External"/><Relationship Id="rId12" Type="http://schemas.openxmlformats.org/officeDocument/2006/relationships/hyperlink" Target="https://www.mintrud.gov.by/uploads/files/MTiSZ-175-po-sost.-na-02.09.2024.pdf" TargetMode="External"/><Relationship Id="rId13" Type="http://schemas.openxmlformats.org/officeDocument/2006/relationships/hyperlink" Target="https://www.garant.ru/news/1759182/" TargetMode="External"/><Relationship Id="rId14" Type="http://schemas.openxmlformats.org/officeDocument/2006/relationships/hyperlink" Target="https://base.garant.ru/73524230/" TargetMode="External"/><Relationship Id="rId15" Type="http://schemas.openxmlformats.org/officeDocument/2006/relationships/hyperlink" Target="https://dou.su/files/docs/MSG_MT_30_05_2022_15_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