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Сравнение практики РФ с зарубежными карточками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ЭДО в целом и ЭДО/доказывание в охране труда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ЭДО в целом</w:t>
      </w:r>
    </w:p>
    <w:p>
      <w:r>
        <w:rPr>
          <w:rFonts w:ascii="Calibri" w:hAnsi="Calibri" w:eastAsia="Calibri"/>
          <w:b w:val="0"/>
          <w:i w:val="0"/>
          <w:sz w:val="24"/>
        </w:rPr>
        <w:t>РФ (Пленум № 25): электронное сообщение допустимо, если можно установить отправителя и адресата. Нет LEC 326.4, нет 106B, нет презумпции только у QES. Ближе к свободной оценке при доказываемой достоверности. УКЭП даёт максимальную силу, но простая переписка не отвергается автоматически.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Пленум ВС РФ от 23.06.2015 № 25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63‑ФЗ об электронной подписи</w:t>
        </w:r>
      </w:hyperlink>
    </w:p>
    <w:p>
      <w:pPr>
        <w:pStyle w:val="Heading1"/>
      </w:pPr>
      <w:r>
        <w:t>2. Охрана труда</w:t>
      </w:r>
    </w:p>
    <w:p>
      <w:r>
        <w:rPr>
          <w:rFonts w:ascii="Calibri" w:hAnsi="Calibri" w:eastAsia="Calibri"/>
          <w:b w:val="0"/>
          <w:i w:val="0"/>
          <w:sz w:val="24"/>
        </w:rPr>
        <w:t>За рубежом суды спорят о содержании обучения (DE, IE, FR, KE). В РФ то же самое делает ВС 49‑АД24‑22‑К6 по бумажному журналу. Отличие одно: вопрос «можно ли запись электронно» в РФ закрыт статутом и письмами Минтруда, а не судом. Среди зарубежных карточек нет правила «электронный журнал всегда ничтожен».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ВС РФ от 06.09.2024 № 49‑АД24‑22‑К6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Heading1"/>
      </w:pPr>
      <w:r>
        <w:t>3. Практический вывод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Карточка РФ по ОТ — связка нормы (22.1(3) + письма) и судебной проверки содержания журнала. Это честнее, чем искать несуществующий прецедент «e‑журнал ничтожен».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Мотив Минтруда «нельзя править задним числом» закрывается техническими гарантиями белорусского типа, а не бумагой как таковой.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Акт НС и журнал инструктажа в российской практике стоят на разных полках: расследование / уголовные дела (Пленум № 41) vs допуск к работе.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Пленум ВС РФ от 29.11.2018 № 41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Инструкция Минтруда РБ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Heading1"/>
      </w:pPr>
      <w:r>
        <w:t>4.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Пленум ВС РФ от 23.06.2015 № 25: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https://www.consultant.ru/document/cons_doc_LAW_181602/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12.01.2023 № 14‑6/ООГ‑97: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https://base.garant.ru/406201483/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ВС РФ от 06.09.2024 № 49‑АД24‑22‑К6 (обзор):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https://www.garant.ru/news/1759182/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Пленум ВС РФ от 29.11.2018 № 41: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https://www.consultant.ru/document/cons_doc_LAW_312308/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Минтруда РБ № 175, п. 35: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81602/" TargetMode="External"/><Relationship Id="rId10" Type="http://schemas.openxmlformats.org/officeDocument/2006/relationships/hyperlink" Target="https://www.consultant.ru/document/cons_doc_LAW_112701/" TargetMode="External"/><Relationship Id="rId11" Type="http://schemas.openxmlformats.org/officeDocument/2006/relationships/hyperlink" Target="https://www.garant.ru/news/1759182/" TargetMode="External"/><Relationship Id="rId12" Type="http://schemas.openxmlformats.org/officeDocument/2006/relationships/hyperlink" Target="https://base.garant.ru/406201483/" TargetMode="External"/><Relationship Id="rId13" Type="http://schemas.openxmlformats.org/officeDocument/2006/relationships/hyperlink" Target="https://www.consultant.ru/document/cons_doc_LAW_312308/" TargetMode="External"/><Relationship Id="rId14" Type="http://schemas.openxmlformats.org/officeDocument/2006/relationships/hyperlink" Target="https://www.mintrud.gov.by/uploads/files/MTiSZ-175-po-sost.-na-02.09.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