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left"/>
      </w:pPr>
      <w:r>
        <w:rPr>
          <w:rFonts w:ascii="Calibri" w:hAnsi="Calibri" w:eastAsia="Calibri"/>
          <w:b/>
          <w:i w:val="0"/>
          <w:color w:val="1F4E79"/>
          <w:sz w:val="44"/>
        </w:rPr>
        <w:t>РФ: электронные доказательства (ЭДО в целом)</w:t>
      </w:r>
    </w:p>
    <w:p>
      <w:pPr>
        <w:spacing w:after="200"/>
      </w:pPr>
      <w:r>
        <w:rPr>
          <w:rFonts w:ascii="Calibri" w:hAnsi="Calibri" w:eastAsia="Calibri"/>
          <w:b w:val="0"/>
          <w:i w:val="0"/>
          <w:color w:val="535353"/>
          <w:sz w:val="26"/>
        </w:rPr>
        <w:t>Пленум ВС РФ от 23.06.2015 № 25, п. 65</w:t>
      </w:r>
    </w:p>
    <w:p>
      <w:pPr>
        <w:spacing w:after="160"/>
      </w:pPr>
      <w:r>
        <w:rPr>
          <w:rFonts w:ascii="Calibri" w:hAnsi="Calibri" w:eastAsia="Calibri"/>
          <w:b w:val="0"/>
          <w:i w:val="0"/>
          <w:color w:val="535353"/>
          <w:sz w:val="22"/>
        </w:rPr>
        <w:t>Сравнительный анализ зарубежного регулирования электронного документооборота (ЭДО) с правовой моделью Российской Федерации. Актуализация: август 2026 г.</w:t>
      </w:r>
    </w:p>
    <w:p>
      <w:pPr>
        <w:spacing w:after="240"/>
      </w:pPr>
      <w:r>
        <w:rPr>
          <w:rFonts w:ascii="Calibri" w:hAnsi="Calibri" w:eastAsia="Calibri"/>
          <w:b w:val="0"/>
          <w:i/>
          <w:color w:val="535353"/>
          <w:sz w:val="20"/>
        </w:rPr>
        <w:t>Как проверить. После каждого блока фактов — строка «Проверить» с кликабельной ссылкой на официальный текст закона, судебное решение или первоисточник. Рекомендации («что добавить / не переносить») — выводы автора НИР, но рядом указаны нормы, на которые они опираются. Номера дел не вымышлены.</w:t>
      </w:r>
    </w:p>
    <w:p>
      <w:r>
        <w:rPr>
          <w:rFonts w:ascii="Calibri" w:hAnsi="Calibri" w:eastAsia="Calibri"/>
          <w:b w:val="0"/>
          <w:i w:val="0"/>
          <w:sz w:val="24"/>
        </w:rPr>
        <w:t>Прямой российской «карточки e‑журнала инструктажа» нет: запрет носителя статутный. Для среза ЭДО в целом ориентир — Пленум № 25: юридически значимое сообщение можно направить по e‑mail и иной связи, если можно достоверно установить отправителя и адресата.</w:t>
      </w:r>
    </w:p>
    <w:p>
      <w:pPr>
        <w:spacing w:before="0" w:after="200"/>
      </w:pPr>
      <w:r>
        <w:rPr>
          <w:rFonts w:ascii="Calibri" w:hAnsi="Calibri" w:eastAsia="Calibri"/>
          <w:b w:val="0"/>
          <w:i/>
          <w:color w:val="535353"/>
          <w:sz w:val="18"/>
        </w:rPr>
        <w:t xml:space="preserve">Проверить: </w:t>
      </w:r>
      <w:hyperlink r:id="rId9">
        <w:r>
          <w:rPr>
            <w:color w:val="0563C1"/>
            <w:u w:val="single"/>
            <w:sz w:val="18"/>
            <w:rFonts w:ascii="Calibri" w:hAnsi="Calibri"/>
          </w:rPr>
          <w:t xml:space="preserve">Пленум ВС РФ от 23.06.2015 № 25</w:t>
        </w:r>
      </w:hyperlink>
    </w:p>
    <w:p>
      <w:pPr>
        <w:pStyle w:val="Heading1"/>
      </w:pPr>
      <w:r>
        <w:t>1. Реквизиты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62"/>
        <w:gridCol w:w="4762"/>
      </w:tblGrid>
      <w:tr>
        <w:tc>
          <w:tcPr>
            <w:tcW w:type="dxa" w:w="4762"/>
            <w:shd w:fill="1F4E79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Поле</w:t>
            </w:r>
          </w:p>
        </w:tc>
        <w:tc>
          <w:tcPr>
            <w:tcW w:type="dxa" w:w="4762"/>
            <w:shd w:fill="1F4E79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Значение</w:t>
            </w:r>
          </w:p>
        </w:tc>
      </w:tr>
      <w:tr>
        <w:tc>
          <w:tcPr>
            <w:tcW w:type="dxa" w:w="4762"/>
          </w:tcPr>
          <w:p>
            <w:r/>
            <w:r>
              <w:rPr>
                <w:rFonts w:ascii="Calibri" w:hAnsi="Calibri" w:eastAsia="Calibri"/>
                <w:b/>
                <w:i w:val="0"/>
                <w:sz w:val="20"/>
              </w:rPr>
              <w:t>Акт</w:t>
            </w:r>
          </w:p>
        </w:tc>
        <w:tc>
          <w:tcPr>
            <w:tcW w:type="dxa" w:w="4762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Постановление Пленума ВС РФ от 23.06.2015 № 25</w:t>
            </w:r>
          </w:p>
        </w:tc>
      </w:tr>
      <w:tr>
        <w:tc>
          <w:tcPr>
            <w:tcW w:type="dxa" w:w="4762"/>
          </w:tcPr>
          <w:p>
            <w:r/>
            <w:r>
              <w:rPr>
                <w:rFonts w:ascii="Calibri" w:hAnsi="Calibri" w:eastAsia="Calibri"/>
                <w:b/>
                <w:i w:val="0"/>
                <w:sz w:val="20"/>
              </w:rPr>
              <w:t>Пункт</w:t>
            </w:r>
          </w:p>
        </w:tc>
        <w:tc>
          <w:tcPr>
            <w:tcW w:type="dxa" w:w="4762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65</w:t>
            </w:r>
          </w:p>
        </w:tc>
      </w:tr>
      <w:tr>
        <w:tc>
          <w:tcPr>
            <w:tcW w:type="dxa" w:w="4762"/>
          </w:tcPr>
          <w:p>
            <w:r/>
            <w:r>
              <w:rPr>
                <w:rFonts w:ascii="Calibri" w:hAnsi="Calibri" w:eastAsia="Calibri"/>
                <w:b/>
                <w:i w:val="0"/>
                <w:sz w:val="20"/>
              </w:rPr>
              <w:t>Срез</w:t>
            </w:r>
          </w:p>
        </w:tc>
        <w:tc>
          <w:tcPr>
            <w:tcW w:type="dxa" w:w="4762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ЭДО в целом / допустимость электронных сообщений</w:t>
            </w:r>
          </w:p>
        </w:tc>
      </w:tr>
      <w:tr>
        <w:tc>
          <w:tcPr>
            <w:tcW w:type="dxa" w:w="4762"/>
          </w:tcPr>
          <w:p>
            <w:r/>
            <w:r>
              <w:rPr>
                <w:rFonts w:ascii="Calibri" w:hAnsi="Calibri" w:eastAsia="Calibri"/>
                <w:b/>
                <w:i w:val="0"/>
                <w:sz w:val="20"/>
              </w:rPr>
              <w:t>Тип</w:t>
            </w:r>
          </w:p>
        </w:tc>
        <w:tc>
          <w:tcPr>
            <w:tcW w:type="dxa" w:w="4762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Разъяснение высшей инстанции, не одно дело</w:t>
            </w:r>
          </w:p>
        </w:tc>
      </w:tr>
      <w:tr>
        <w:tc>
          <w:tcPr>
            <w:tcW w:type="dxa" w:w="4762"/>
          </w:tcPr>
          <w:p>
            <w:r/>
            <w:r>
              <w:rPr>
                <w:rFonts w:ascii="Calibri" w:hAnsi="Calibri" w:eastAsia="Calibri"/>
                <w:b/>
                <w:i w:val="0"/>
                <w:sz w:val="20"/>
              </w:rPr>
              <w:t>Ссылка</w:t>
            </w:r>
          </w:p>
        </w:tc>
        <w:tc>
          <w:tcPr>
            <w:tcW w:type="dxa" w:w="4762"/>
          </w:tcPr>
          <w:p>
            <w:r/>
            <w:hyperlink r:id="rId9">
              <w:r>
                <w:rPr>
                  <w:color w:val="0563C1"/>
                  <w:u w:val="single"/>
                  <w:sz w:val="18"/>
                  <w:rFonts w:ascii="Calibri" w:hAnsi="Calibri"/>
                </w:rPr>
                <w:t xml:space="preserve">Пленум ВС РФ от 23.06.2015 № 25</w:t>
              </w:r>
            </w:hyperlink>
          </w:p>
        </w:tc>
      </w:tr>
    </w:tbl>
    <w:p/>
    <w:p>
      <w:pPr>
        <w:pStyle w:val="Heading1"/>
      </w:pPr>
      <w:r>
        <w:t>2. Правовая позиция</w:t>
      </w:r>
    </w:p>
    <w:p>
      <w:r>
        <w:rPr>
          <w:rFonts w:ascii="Calibri" w:hAnsi="Calibri" w:eastAsia="Calibri"/>
          <w:b w:val="0"/>
          <w:i w:val="0"/>
          <w:sz w:val="24"/>
        </w:rPr>
        <w:t>Если иное не установлено законом или договором и не следует из обычая, юридически значимое сообщение может быть направлено в том числе посредством электронной почты, факсимильной и другой связи, когда можно достоверно установить, от кого исходило сообщение и кому оно адресовано.</w:t>
      </w:r>
    </w:p>
    <w:p>
      <w:pPr>
        <w:spacing w:before="0" w:after="200"/>
      </w:pPr>
      <w:r>
        <w:rPr>
          <w:rFonts w:ascii="Calibri" w:hAnsi="Calibri" w:eastAsia="Calibri"/>
          <w:b w:val="0"/>
          <w:i/>
          <w:color w:val="535353"/>
          <w:sz w:val="18"/>
        </w:rPr>
        <w:t xml:space="preserve">Проверить: </w:t>
      </w:r>
      <w:hyperlink r:id="rId9">
        <w:r>
          <w:rPr>
            <w:color w:val="0563C1"/>
            <w:u w:val="single"/>
            <w:sz w:val="18"/>
            <w:rFonts w:ascii="Calibri" w:hAnsi="Calibri"/>
          </w:rPr>
          <w:t xml:space="preserve">Пленум ВС РФ от 23.06.2015 № 25</w:t>
        </w:r>
      </w:hyperlink>
    </w:p>
    <w:p>
      <w:pPr>
        <w:pStyle w:val="Heading1"/>
      </w:pPr>
      <w:r>
        <w:t>3. Значение для НИР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4"/>
        </w:rPr>
        <w:t>РФ принимает электронные доказательства, если достоверность отправителя/адресата устанавливается — ближе к Ирландии/ Pantallazos, чем к кенийскому 106B.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4"/>
        </w:rPr>
        <w:t>Нет статутной презумпции как LEC 326.4 и нет французского правила «презумпция только у QES».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4"/>
        </w:rPr>
        <w:t>К журналу инструктажа эта доктрина не пробивает ч. 3 ст. 22.1: специальный запрет сильнее общего правила доказательств.</w:t>
      </w:r>
    </w:p>
    <w:p>
      <w:pPr>
        <w:spacing w:before="0" w:after="200"/>
      </w:pPr>
      <w:r>
        <w:rPr>
          <w:rFonts w:ascii="Calibri" w:hAnsi="Calibri" w:eastAsia="Calibri"/>
          <w:b w:val="0"/>
          <w:i/>
          <w:color w:val="535353"/>
          <w:sz w:val="18"/>
        </w:rPr>
        <w:t xml:space="preserve">Проверить: </w:t>
      </w:r>
      <w:hyperlink r:id="rId9">
        <w:r>
          <w:rPr>
            <w:color w:val="0563C1"/>
            <w:u w:val="single"/>
            <w:sz w:val="18"/>
            <w:rFonts w:ascii="Calibri" w:hAnsi="Calibri"/>
          </w:rPr>
          <w:t xml:space="preserve">Пленум ВС РФ от 23.06.2015 № 25</w:t>
        </w:r>
      </w:hyperlink>
      <w:r>
        <w:rPr>
          <w:rFonts w:ascii="Calibri" w:hAnsi="Calibri" w:eastAsia="Calibri"/>
          <w:b w:val="0"/>
          <w:i w:val="0"/>
          <w:color w:val="535353"/>
          <w:sz w:val="18"/>
        </w:rPr>
        <w:t xml:space="preserve">  ·  </w:t>
      </w:r>
      <w:hyperlink r:id="rId10">
        <w:r>
          <w:rPr>
            <w:color w:val="0563C1"/>
            <w:u w:val="single"/>
            <w:sz w:val="18"/>
            <w:rFonts w:ascii="Calibri" w:hAnsi="Calibri"/>
          </w:rPr>
          <w:t xml:space="preserve">ТК РФ, ст. 22.1–22.3</w:t>
        </w:r>
      </w:hyperlink>
    </w:p>
    <w:p>
      <w:pPr>
        <w:pStyle w:val="Heading1"/>
      </w:pPr>
      <w:r>
        <w:t>4. Источники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 xml:space="preserve">Пленум ВС РФ от 23.06.2015 № 25: </w:t>
      </w:r>
      <w:hyperlink r:id="rId9">
        <w:r>
          <w:rPr>
            <w:color w:val="0563C1"/>
            <w:u w:val="single"/>
            <w:sz w:val="22"/>
            <w:rFonts w:ascii="Calibri" w:hAnsi="Calibri"/>
          </w:rPr>
          <w:t xml:space="preserve">https://www.consultant.ru/document/cons_doc_LAW_181602/</w:t>
        </w:r>
      </w:hyperlink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 xml:space="preserve">63‑ФЗ об электронной подписи: </w:t>
      </w:r>
      <w:hyperlink r:id="rId11">
        <w:r>
          <w:rPr>
            <w:color w:val="0563C1"/>
            <w:u w:val="single"/>
            <w:sz w:val="22"/>
            <w:rFonts w:ascii="Calibri" w:hAnsi="Calibri"/>
          </w:rPr>
          <w:t xml:space="preserve">https://www.consultant.ru/document/cons_doc_LAW_112701/</w:t>
        </w:r>
      </w:hyperlink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 xml:space="preserve">ТК РФ, ст. 22.1–22.3: </w:t>
      </w:r>
      <w:hyperlink r:id="rId10">
        <w:r>
          <w:rPr>
            <w:color w:val="0563C1"/>
            <w:u w:val="single"/>
            <w:sz w:val="22"/>
            <w:rFonts w:ascii="Calibri" w:hAnsi="Calibri"/>
          </w:rPr>
          <w:t xml:space="preserve">https://www.consultant.ru/document/cons_doc_LAW_34683/</w:t>
        </w:r>
      </w:hyperlink>
    </w:p>
    <w:sectPr w:rsidR="00FC693F" w:rsidRPr="0006063C" w:rsidSect="00034616">
      <w:pgSz w:w="11906" w:h="16838"/>
      <w:pgMar w:top="1134" w:right="1134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40" w:lineRule="auto"/>
    </w:pPr>
    <w:rPr>
      <w:rFonts w:ascii="Calibri" w:hAnsi="Calibri" w:eastAsia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 w:eastAsia="Calibri"/>
      <w:b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consultant.ru/document/cons_doc_LAW_181602/" TargetMode="External"/><Relationship Id="rId10" Type="http://schemas.openxmlformats.org/officeDocument/2006/relationships/hyperlink" Target="https://www.consultant.ru/document/cons_doc_LAW_34683/" TargetMode="External"/><Relationship Id="rId11" Type="http://schemas.openxmlformats.org/officeDocument/2006/relationships/hyperlink" Target="https://www.consultant.ru/document/cons_doc_LAW_112701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