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 w:eastAsia="Calibri"/>
          <w:b/>
          <w:i w:val="0"/>
          <w:color w:val="1F4E79"/>
          <w:sz w:val="44"/>
        </w:rPr>
        <w:t>Матрица документов охраны труда</w:t>
      </w:r>
    </w:p>
    <w:p>
      <w:pPr>
        <w:spacing w:after="200"/>
      </w:pPr>
      <w:r>
        <w:rPr>
          <w:rFonts w:ascii="Calibri" w:hAnsi="Calibri" w:eastAsia="Calibri"/>
          <w:b w:val="0"/>
          <w:i w:val="0"/>
          <w:color w:val="535353"/>
          <w:sz w:val="26"/>
        </w:rPr>
        <w:t>Не страны подряд, а процессы: журнал, протокол, ОПР, наряд‑допуск, акт НС, СИЗ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535353"/>
          <w:sz w:val="22"/>
        </w:rPr>
        <w:t>Сравнительный анализ зарубежного регулирования электронного документооборота (ЭДО) с правовой моделью Российской Федерации. Актуализация: август 2026 г.</w:t>
      </w:r>
    </w:p>
    <w:p>
      <w:pPr>
        <w:spacing w:after="240"/>
      </w:pPr>
      <w:r>
        <w:rPr>
          <w:rFonts w:ascii="Calibri" w:hAnsi="Calibri" w:eastAsia="Calibri"/>
          <w:b w:val="0"/>
          <w:i/>
          <w:color w:val="535353"/>
          <w:sz w:val="20"/>
        </w:rPr>
        <w:t>Как проверить. После каждого блока фактов — строка «Проверить» с кликабельной ссылкой на официальный текст закона, судебное решение или первоисточник. Рекомендации («что добавить / не переносить») — выводы автора НИР, но рядом указаны нормы, на которые они опираются. Номера дел не вымышлены.</w:t>
      </w:r>
    </w:p>
    <w:p>
      <w:r>
        <w:rPr>
          <w:rFonts w:ascii="Calibri" w:hAnsi="Calibri" w:eastAsia="Calibri"/>
          <w:b w:val="0"/>
          <w:i w:val="0"/>
          <w:sz w:val="24"/>
        </w:rPr>
        <w:t>Глава 2 НИР должна идти по процессам. Ниже шесть документов, которые работодатель реально предъявляет инспектору и суду. Ключевой российский контраст: протокол проверки знания уже можно вести электронно (ПП 2464 п. 91–93), а журнал инструктажа — нельзя (ч. 3 ст. 22.1 ТК).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9">
        <w:r>
          <w:rPr>
            <w:color w:val="0563C1"/>
            <w:u w:val="single"/>
            <w:sz w:val="18"/>
            <w:rFonts w:ascii="Calibri" w:hAnsi="Calibri"/>
          </w:rPr>
          <w:t xml:space="preserve">ТК РФ, ст. 22.1–22.3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0">
        <w:r>
          <w:rPr>
            <w:color w:val="0563C1"/>
            <w:u w:val="single"/>
            <w:sz w:val="18"/>
            <w:rFonts w:ascii="Calibri" w:hAnsi="Calibri"/>
          </w:rPr>
          <w:t xml:space="preserve">ПП РФ № 2464</w:t>
        </w:r>
      </w:hyperlink>
    </w:p>
    <w:p>
      <w:pPr>
        <w:pStyle w:val="Heading1"/>
      </w:pPr>
      <w:r>
        <w:t>1. Сводная таблица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2381"/>
            <w:shd w:fill="1F4E79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Документ</w:t>
            </w:r>
          </w:p>
        </w:tc>
        <w:tc>
          <w:tcPr>
            <w:tcW w:type="dxa" w:w="2381"/>
            <w:shd w:fill="1F4E79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Российская Федерация</w:t>
            </w:r>
          </w:p>
        </w:tc>
        <w:tc>
          <w:tcPr>
            <w:tcW w:type="dxa" w:w="2381"/>
            <w:shd w:fill="1F4E79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За рубежом (ядро + семёрка)</w:t>
            </w:r>
          </w:p>
        </w:tc>
        <w:tc>
          <w:tcPr>
            <w:tcW w:type="dxa" w:w="2381"/>
            <w:shd w:fill="1F4E79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Что проверяют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Журнал / регистрация инструктажа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Нет в КЭДО: ч. 3 ст. 22.1 ТК. Бумага + собственноручная подпись (письмо Минтруда 14‑6/ООГ‑97; Онлайнинспекция 178122)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BY: да, п. 35 Инстр. 175 (идентификация + время + защита от правок). DE: подпись не обязательна (§ 12 ArbSchG). RS: Form 6 бумага. ES/IE/FR: нет запрета. KE: OSHA молчит, в суде 106B. KZ: да, журнал + ЭЦП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Содержание (тема, ЛНА, рабочее место) и факт допуска. В РФ суды смотрят заполненность журнала (ВС 49‑АД24‑22‑К6), а не носитель — носитель закрыл законодатель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Протокол обучения / проверки знания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Да: ПП 2464 п. 91–93 — бумага или электронно при идентификации. Это уже легальный e‑контур рядом с запрещённым журналом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SG: госреестр TRS. RS: обучение (Form 6) бумага, прочие формы ОТ электронно с QES. BY: электронная регистрация обучения/стажировки в том же п. 35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Что работник знал и когда проверен. Электронный протокол в РФ уже допустим — внутреннее напряжение с журналом инструктажа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Оценка профессиональных рисков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Обязанность ст. 214 / 218 ТК; форма записи законом не выведена из ЭДО. На практике — карты ОПР, часто файл + бумага для ознакомления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DE: Gefährdungsbeurteilung — ядро Unterweisung (BAG 1 ABR 104/09). UK: suitable and sufficient RA. ЕС: OiRA. IE: Redmond 2024 — пробел RA, не журнала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Связь мер и инструктажа с конкретными опасностями. Электронный курс без привязки к ОПР слаб и в DE, и в IE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Наряд‑допуск / permit‑to‑work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Не в списке ч. 3 ст. 22.1. Отраслевые правила часто подразумевают бумагу; электронный маршрут согласований не запрещён ТК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BY: электронный учёт нарядов при идентификации. UK: e‑PTW обычная индустриальная практика. RS: большинство форм ОТ электронно с QES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Кто допустил, к какой работе, на какой срок, какие СИЗ и обучение. Юридически это система работы, не «журнал»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Акт о несчастном случае (Н‑1 и др.)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Исключён из КЭДО ч. 3 ст. 22.1. Минтруд: только бумага (14‑6/ООГ‑97) — чтобы нельзя было менять задним числом в короткие сроки защиты прав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Ни одна из 13 юрисдикций не копирует этот запрет носителя. Учёт/уведомление о НС везде статутные; расследование везде тяжелее журнала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Процессуальный документ расследования, не регистр обучения. Цифровизировать отдельно от журнала инструктажа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Учёт выдачи СИЗ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Не назван в ч. 3 ст. 22.1. Карточки учёта часто бумага; КЭДО теоретически применим при согласии и виде ЭП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RS Form 6 включает правильное применение СИЗ и оставлен на бумаге. FR/KE суды смотрят факт выдачи/обучения СИЗ, не носитель карточки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Выданы ли СИЗ и обучен ли работник ими пользоваться. Ближе к содержанию обязанности, чем к форме журнала</w:t>
            </w:r>
          </w:p>
        </w:tc>
      </w:tr>
    </w:tbl>
    <w:p/>
    <w:p>
      <w:pPr>
        <w:pStyle w:val="Heading1"/>
      </w:pPr>
      <w:r>
        <w:t>2. Вывод для глав 2–3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Запрет РФ точечно бьёт по журналу инструктажа и акту НС, а не по всей документации ОТ.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9">
        <w:r>
          <w:rPr>
            <w:color w:val="0563C1"/>
            <w:u w:val="single"/>
            <w:sz w:val="18"/>
            <w:rFonts w:ascii="Calibri" w:hAnsi="Calibri"/>
          </w:rPr>
          <w:t xml:space="preserve">ТК РФ, ст. 22.1–22.3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1">
        <w:r>
          <w:rPr>
            <w:color w:val="0563C1"/>
            <w:u w:val="single"/>
            <w:sz w:val="18"/>
            <w:rFonts w:ascii="Calibri" w:hAnsi="Calibri"/>
          </w:rPr>
          <w:t xml:space="preserve">Письмо Минтруда от 12.01.2023 № 14‑6/ООГ‑97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Беларусь и Казахстан — прямое «да» для журнала. Сербия — «да» почти для всего ОТ и «нет» только для учёта обучения (Form 6).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12">
        <w:r>
          <w:rPr>
            <w:color w:val="0563C1"/>
            <w:u w:val="single"/>
            <w:sz w:val="18"/>
            <w:rFonts w:ascii="Calibri" w:hAnsi="Calibri"/>
          </w:rPr>
          <w:t xml:space="preserve">Инструкция Минтруда РБ № 175, п. 35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Германия и Ирландия проверяют содержание обучения и оценку рисков, а не прошнурованный журнал.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Имеет смысл легализовать электронный журнал по модели п. 35 Инстр. 175, не трогая особый режим акта НС.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12">
        <w:r>
          <w:rPr>
            <w:color w:val="0563C1"/>
            <w:u w:val="single"/>
            <w:sz w:val="18"/>
            <w:rFonts w:ascii="Calibri" w:hAnsi="Calibri"/>
          </w:rPr>
          <w:t xml:space="preserve">Инструкция Минтруда РБ № 175, п. 35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1">
        <w:r>
          <w:rPr>
            <w:color w:val="0563C1"/>
            <w:u w:val="single"/>
            <w:sz w:val="18"/>
            <w:rFonts w:ascii="Calibri" w:hAnsi="Calibri"/>
          </w:rPr>
          <w:t xml:space="preserve">Письмо Минтруда от 12.01.2023 № 14‑6/ООГ‑97</w:t>
        </w:r>
      </w:hyperlink>
    </w:p>
    <w:p>
      <w:pPr>
        <w:pStyle w:val="Heading1"/>
      </w:pPr>
      <w:r>
        <w:t>3. Источники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ТК РФ, ст. 22.1–22.3: </w:t>
      </w:r>
      <w:hyperlink r:id="rId9">
        <w:r>
          <w:rPr>
            <w:color w:val="0563C1"/>
            <w:u w:val="single"/>
            <w:sz w:val="22"/>
            <w:rFonts w:ascii="Calibri" w:hAnsi="Calibri"/>
          </w:rPr>
          <w:t xml:space="preserve">https://www.consultant.ru/document/cons_doc_LAW_34683/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ПП РФ № 2464: </w:t>
      </w:r>
      <w:hyperlink r:id="rId10">
        <w:r>
          <w:rPr>
            <w:color w:val="0563C1"/>
            <w:u w:val="single"/>
            <w:sz w:val="22"/>
            <w:rFonts w:ascii="Calibri" w:hAnsi="Calibri"/>
          </w:rPr>
          <w:t xml:space="preserve">https://www.consultant.ru/document/cons_doc_LAW_405146/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Письмо Минтруда от 12.01.2023 № 14‑6/ООГ‑97: </w:t>
      </w:r>
      <w:hyperlink r:id="rId11">
        <w:r>
          <w:rPr>
            <w:color w:val="0563C1"/>
            <w:u w:val="single"/>
            <w:sz w:val="22"/>
            <w:rFonts w:ascii="Calibri" w:hAnsi="Calibri"/>
          </w:rPr>
          <w:t xml:space="preserve">https://base.garant.ru/406201483/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ВС РФ от 06.09.2024 № 49‑АД24‑22‑К6 (обзор): </w:t>
      </w:r>
      <w:hyperlink r:id="rId13">
        <w:r>
          <w:rPr>
            <w:color w:val="0563C1"/>
            <w:u w:val="single"/>
            <w:sz w:val="22"/>
            <w:rFonts w:ascii="Calibri" w:hAnsi="Calibri"/>
          </w:rPr>
          <w:t xml:space="preserve">https://www.garant.ru/news/1759182/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Инструкция Минтруда РБ № 175, п. 35: </w:t>
      </w:r>
      <w:hyperlink r:id="rId12">
        <w:r>
          <w:rPr>
            <w:color w:val="0563C1"/>
            <w:u w:val="single"/>
            <w:sz w:val="22"/>
            <w:rFonts w:ascii="Calibri" w:hAnsi="Calibri"/>
          </w:rPr>
          <w:t xml:space="preserve">https://www.mintrud.gov.by/uploads/files/MTiSZ-175-po-sost.-na-02.09.2024.pdf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eIDAS (EU) 910/2014: </w:t>
      </w:r>
      <w:hyperlink r:id="rId14">
        <w:r>
          <w:rPr>
            <w:color w:val="0563C1"/>
            <w:u w:val="single"/>
            <w:sz w:val="22"/>
            <w:rFonts w:ascii="Calibri" w:hAnsi="Calibri"/>
          </w:rPr>
          <w:t xml:space="preserve">https://eur-lex.europa.eu/legal-content/EN/TXT/?uri=CELEX:32014R0910</w:t>
        </w:r>
      </w:hyperlink>
    </w:p>
    <w:sectPr w:rsidR="00FC693F" w:rsidRPr="0006063C" w:rsidSect="00034616">
      <w:pgSz w:w="11906" w:h="16838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consultant.ru/document/cons_doc_LAW_34683/" TargetMode="External"/><Relationship Id="rId10" Type="http://schemas.openxmlformats.org/officeDocument/2006/relationships/hyperlink" Target="https://www.consultant.ru/document/cons_doc_LAW_405146/" TargetMode="External"/><Relationship Id="rId11" Type="http://schemas.openxmlformats.org/officeDocument/2006/relationships/hyperlink" Target="https://base.garant.ru/406201483/" TargetMode="External"/><Relationship Id="rId12" Type="http://schemas.openxmlformats.org/officeDocument/2006/relationships/hyperlink" Target="https://www.mintrud.gov.by/uploads/files/MTiSZ-175-po-sost.-na-02.09.2024.pdf" TargetMode="External"/><Relationship Id="rId13" Type="http://schemas.openxmlformats.org/officeDocument/2006/relationships/hyperlink" Target="https://www.garant.ru/news/1759182/" TargetMode="External"/><Relationship Id="rId14" Type="http://schemas.openxmlformats.org/officeDocument/2006/relationships/hyperlink" Target="https://eur-lex.europa.eu/legal-content/EN/TXT/?uri=CELEX:32014R091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