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РФ: суд смотрит содержание журнала, не его «электронность»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Постановление ВС РФ от 06.09.2024 № 49‑АД24‑22‑К6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r>
        <w:rPr>
          <w:rFonts w:ascii="Calibri" w:hAnsi="Calibri" w:eastAsia="Calibri"/>
          <w:b w:val="0"/>
          <w:i w:val="0"/>
          <w:sz w:val="24"/>
        </w:rPr>
        <w:t>Аналогия обязательна: дело не про электронный журнал. Это административное дело после НС, где ВС подтвердил ответственность за допуск без повторного инструктажа и за журнал без указания ЛНА (п. 87 Правил № 2464).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ВС РФ от 06.09.2024 № 49‑АД24‑22‑К6 (обзор)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ПП РФ № 2464</w:t>
        </w:r>
      </w:hyperlink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Суд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Верховный Суд РФ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Постановление от 06.09.2024 № 49‑АД24‑22‑К6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Состав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ч. 3 ст. 5.27.1 КоАП РФ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Аналогия: содержание журнала / факт инструктажа, не спор о носителе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Ссылка</w:t>
            </w:r>
          </w:p>
        </w:tc>
        <w:tc>
          <w:tcPr>
            <w:tcW w:type="dxa" w:w="4762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ВС РФ от 06.09.2024 № 49‑АД24‑22‑К6 (обзор)</w:t>
              </w:r>
            </w:hyperlink>
          </w:p>
        </w:tc>
      </w:tr>
    </w:tbl>
    <w:p/>
    <w:p>
      <w:pPr>
        <w:pStyle w:val="Heading1"/>
      </w:pPr>
      <w:r>
        <w:t>2. Фабула и позиция</w:t>
      </w:r>
    </w:p>
    <w:p>
      <w:r>
        <w:rPr>
          <w:rFonts w:ascii="Calibri" w:hAnsi="Calibri" w:eastAsia="Calibri"/>
          <w:b w:val="0"/>
          <w:i w:val="0"/>
          <w:sz w:val="24"/>
        </w:rPr>
        <w:t>По материалам расследования ГИТ работник был допущен к работе без повторного инструктажа. В журнале регистрации не было наименования локального акта, в объёме которого проводился инструктаж. ВС оставил в силе привлечение должностного лица. Нормативная опора — ст. 214/219 ТК и п. 87 Правил № 2464.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ВС РФ от 06.09.2024 № 49‑АД24‑22‑К6 (обзор)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ПП РФ № 2464</w:t>
        </w:r>
      </w:hyperlink>
    </w:p>
    <w:p>
      <w:pPr>
        <w:pStyle w:val="Heading1"/>
      </w:pPr>
      <w:r>
        <w:t>3. Значение для НИР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Российский суд в ОТ бьёт по тому же, что BAG и Redmond: было ли обучение/инструктаж по конкретной норме, а не «есть ли прошнурованная книга».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Пока журнал бумажный, дефект реквизитов доказывается по бумаге. Если легализовать e‑журнал, те же реквизиты (ЛНА, вид, дата, лица) должны быть в электронной записи.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Пленум ВС от 29.11.2018 № 41 отдельно говорит, что по уголовным делам об охране труда исследуются акт НС и материалы ГИТ — ещё один довод не смешивать акт НС с «лёгким» журналом.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ВС РФ от 06.09.2024 № 49‑АД24‑22‑К6 (обзор)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Пленум ВС РФ от 29.11.2018 № 41</w:t>
        </w:r>
      </w:hyperlink>
    </w:p>
    <w:p>
      <w:pPr>
        <w:pStyle w:val="Heading1"/>
      </w:pPr>
      <w:r>
        <w:t>4.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ВС РФ от 06.09.2024 № 49‑АД24‑22‑К6 (обзор):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https://www.garant.ru/news/1759182/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Пленум ВС РФ от 29.11.2018 № 41: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https://www.consultant.ru/document/cons_doc_LAW_312308/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ПП РФ № 2464: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КоАП РФ, ст. 5.27.1: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https://www.consultant.ru/document/cons_doc_LAW_34661/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arant.ru/news/1759182/" TargetMode="External"/><Relationship Id="rId10" Type="http://schemas.openxmlformats.org/officeDocument/2006/relationships/hyperlink" Target="https://www.consultant.ru/document/cons_doc_LAW_405146/" TargetMode="External"/><Relationship Id="rId11" Type="http://schemas.openxmlformats.org/officeDocument/2006/relationships/hyperlink" Target="https://www.consultant.ru/document/cons_doc_LAW_312308/" TargetMode="External"/><Relationship Id="rId12" Type="http://schemas.openxmlformats.org/officeDocument/2006/relationships/hyperlink" Target="https://www.consultant.ru/document/cons_doc_LAW_3466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