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after="0" w:before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after="0" w:before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Российский химико-технологический университет Д.И. Менделеева</w:t>
      </w:r>
    </w:p>
    <w:p/>
    <w:p/>
    <w:p>
      <w:pPr>
        <w:spacing w:after="0" w:before="24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производственной практике</w:t>
      </w:r>
    </w:p>
    <w:p>
      <w:pPr>
        <w:spacing w:after="0" w:before="16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студентки группы И-34</w:t>
        <w:br/>
        <w:t>Виноградова Мария Евгеньевна</w:t>
      </w:r>
    </w:p>
    <w:p>
      <w:pPr>
        <w:spacing w:after="0" w:before="16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br/>
        <w:t>Направление подготовки 20.03.01 Техносферная безопасность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Место прохождения практики:</w:t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ООО «НПП Рогнеда»</w:t>
      </w:r>
    </w:p>
    <w:p/>
    <w:p/>
    <w:p>
      <w:pPr>
        <w:spacing w:after="0" w:before="0" w:line="276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Оценка за пройденную практику</w:t>
      </w:r>
    </w:p>
    <w:p>
      <w:pPr>
        <w:spacing w:after="0" w:before="0" w:line="276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по результатам защиты отчета:</w:t>
      </w:r>
    </w:p>
    <w:p/>
    <w:p>
      <w:pPr>
        <w:spacing w:after="0" w:before="0" w:line="276" w:lineRule="auto"/>
        <w:ind w:firstLine="0"/>
        <w:jc w:val="right"/>
      </w:pPr>
      <w:r>
        <w:rPr>
          <w:rFonts w:ascii="Times New Roman" w:hAnsi="Times New Roman" w:eastAsia="Times New Roman"/>
          <w:b/>
          <w:sz w:val="28"/>
        </w:rPr>
        <w:t>«___»___________2026 г.</w:t>
      </w:r>
    </w:p>
    <w:p/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r>
        <w:br w:type="page"/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История и описание предприятия «Рогнеда»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1.1. История компании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1.2. Современное состояние и структура производства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Основная часть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2.1. Система управления охраной труда и промышленной безопасностью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2.1.1. Элементы системы и распределение ответственности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2.1.2. Виды инструктажей, цели и сроки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2.1.3. Причины травматизма, аварий и пожаров. Действия при аварии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2.1.4. Экономический ущерб от травматизма и аварий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2.2. Характеристика производственных цехов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2.2.1. Структура цехов и движение сырья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2.2.2. Исходное сырьё и выпускаемая продукция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2.2.3. Требования безопасности при работе в цехах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2.3. Освидетельствование, приём и сдача оборудования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2.4. Государственный надзор и результаты проверок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2.5. Результаты СОУТ и мероприятия по улучшению условий труда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2.6. Экономические показатели предприятия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after="40" w:before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используемой литературы</w:t>
      </w:r>
    </w:p>
    <w:p>
      <w:r>
        <w:br w:type="page"/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Производственная практика проходила на базе ООО «Научно-производственное предприятие Рогнеда» (ООО «НПП Рогнеда») — предприятия лакокрасочной отрасли, расположенного в г. Старая Купавна Московской области. Дата выхода на практику: 29 июня 2026 г. Направление подготовки — 20.03.01 «Техносферная безопасность», группа И-34.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практики — получить представление о реальной работе производственного предприятия и о том, как на нём организованы подразделения, отвечающие за безопасные условия труда, промышленную и пожарную безопасность.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Задачи практики: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оценить степень опасности объекта и характер технологических рисков;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разобрать, насколько безопасно организован технологический процесс;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научиться прогнозировать возможные аварийные ситуации;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проанализировать опасные и вредные производственные факторы и степень их воздействия;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изучить особенности безопасного ведения химико-технологических операций;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рассмотреть действующие на предприятии подходы к управлению охраной труда и промышленной безопасностью.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отчёте отражены сведения об истории и структуре предприятия, системе охраны труда, организации инструктажей, порядке работы с оборудованием, результатах специальной оценки условий труда, а также о мерах коллективной и индивидуальной защиты персонала.</w:t>
      </w:r>
    </w:p>
    <w:p>
      <w:pPr>
        <w:spacing w:after="0" w:before="16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Календарный план прохождения практики: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 История и описание предприятия «Рогнеда»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1.1. История компании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Предприятие ведёт свою историю с 1992 года, когда было создано как небольшое научно-производственное объединение. Первыми на рынок вышли контактные клеи и огнебиозащитный состав «КСД» — именно они задали направление дальнейшего развития.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1994 году появился состав «Акватекс», который со временем стал одним из наиболее узнаваемых продуктов компании в сегменте защитно-декоративных покрытий для древесины. В 2007 году стартовало строительство новой производственной площадки в Старой Купавне; завод проектировали как современное предприятие по выпуску лакокрасочных материалов.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Юридическое лицо в форме ООО «НПП РОГНЕДА» зарегистрировано в 2014 году. Основной вид деятельности — производство красок и лаков на основе полимеров. По итогам 2025 года выручка составила около 6,3 млрд руб., чистая прибыль — порядка 569,5 млн руб.; численность персонала — около 280 человек.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1.2. Современное состояние и структура производства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Сегодня «Рогнеда» — это производственно-складской комплекс с собственной научной базой и автоматизированным оборудованием. Ассортимент включает бренды «Акватекс», «Eurotex», «WoodMaster», «Dali», «ECOSEPT» и другие линейки для защиты древесины, металла, бетона и кирпича — как для внутренних, так и для наружных работ.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производство размещено в трёхэтажном корпусе. Логистика построена по вертикальной (каскадной) схеме: сырьё и полупродукты перемещаются сверху вниз. На третьем этаже организованы органическое отделение и хранение компонентов; на втором — отделение водно-дисперсионных красок (ВДК); на первом — зона фасовки, упаковки и отгрузки готовой продукции.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корпусе выделены два ключевых цеха. Водопримессионный цех (ВДК) относится к пожароопасным объектам, поскольку технологические среды в основном водные. Органический цех классифицируется как взрывопожароопасный из-за постоянного обращения летучих органических растворителей.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 Основная часть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 Система управления охраной труда и промышленной безопасностью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2.1.1. Элементы системы и распределение ответственности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СУОТ и промышленная безопасность на предприятии выстроены как многоуровневая система. Генеральный директор утверждает политику в области охраны труда, распределяет зоны ответственности и ресурсы. Отдел охраны труда и промышленной безопасности организует инструктажи и обучение, контролирует соблюдение норм, проводит СОУТ и оценку рисков, участвует в расследовании происшествий и ведёт взаимодействие с надзорными органами.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Руководители цехов отвечают за охрану труда на своих участках, проводят инструктажи на рабочих местах и следят за применением СИЗ. Служба пожарной безопасности поддерживает противопожарный режим, инструкции, планы эвакуации и работоспособность систем пожарной защиты. Научно-технический центр и лаборатории контролируют безопасность технологических процессов и предлагают решения по снижению рисков.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оперативном уровне важную роль играют главный инженер-технолог, который контролирует соблюдение технологического регламента, и аппаратчики 3–6 разряда, непосредственно ведущие процесс и фиксирующие параметры в рабочих журналах.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2.1.2. Виды инструктажей, цели и сроки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Обучение безопасным приёмам работы на предприятии носит обязательный и непрерывный характер. Каждый инструктаж фиксируется в журнале установленной формы. Ниже приведена сводная характеристика видов инструктажей.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 отмечу: для взрывопожароопасных участков (в том числе органического цеха) повторный инструктаж проводится чаще — как правило, не реже одного раза в квартал. Перед работами повышенной опасности дополнительно оформляется наряд-допуск, а при огневых работах в органическом цехе действуют особые ограничения: в условиях действующего производства такие работы, как правило, не допускаются.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2.1.3. Причины травматизма, аварий и пожаров. Действия при аварии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 основным причинам травматизма и аварий можно отнести: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технические — износ уплотнений, разгерметизация трубопроводов и реакторов, отказ автоматики, недостаточная эффективность вентиляции;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организационные — отступления от регламента, пробелы в квалификации, задержки ремонтов, нехватка СИЗ, нарушение порядка работ по наряду-допуску;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личностные — игнорирование инструкций, невнимательность, использование опасных приёмов труда.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Типичные причины пожаров на лакокрасочном производстве: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нарушения при выполнении огневых работ;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неисправности электрооборудования (короткое замыкание, перегрузки);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разряды статического электричества;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самовозгорание промасленных материалов;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неосторожное обращение с источниками воспламенения.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ликвидации аварии включает обнаружение и оповещение, эвакуацию и спасение людей, локализацию очага и последующую ликвидацию последствий с документированием происшествия.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2.1.4. Экономический ущерб от травматизма и аварий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Экономические потери от инцидентов складываются из нескольких составляющих. К прямым относят расходы на медицинскую помощь и реабилитацию, страховые выплаты, стоимость повреждённого оборудования, сырья и продукции, а также затраты на восстановление. Косвенные потери включают оплату вынужденного простоя, подбор и адаптацию новых работников, внеплановые проверки и штрафы. Упущенная выгода связана с остановкой линий, срывом поставок и репутационными рисками. Для органического цеха длительный простой особенно чувствителен из-за высокой стоимости простоя и сложности повторного запуска.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2.2. Характеристика производственных цехов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2.2.1. Структура цехов и движение сырья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Технологический поток начинается с приёмки и хранения сырья (мешки, контейнеры, насосная закачка в ёмкости). Далее компоненты подготавливают — очищают, взвешивают и дозируют. В смесительном отделении по рецептуре выполняют диспергирование и гомогенизацию. Имеются участки очистки/регенерации растворителей, контроля качества, фасовки и упаковки, а также вспомогательные помещения и инженерные системы (теплообменники, охлаждение/нагрев, очистка воды, трубопроводы).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цехе ВДК преобладают водные дисперсии полимеров, вода как дисперсионная среда, наполнители и пигменты (кальцит, тальк, диоксид титана), а также дозируемые кислоты и щелочи для корректировки pH. В органическом цехе обращаются ЛВЖ и ГЖ (ксилол, толуол, бутилацетат, уайт-спирит), смолы, пигменты и функциональные добавки; используются закрытые резервуары и мобильные дежи.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2.2.2. Исходное сырьё и выпускаемая продукция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рецептурах применяют плёнкообразователи (смолы, олифы, латексы, дисперсии), растворители и разбавители (органические растворители, вода), пигменты и наполнители, а также специальные добавки — пластификаторы, стабилизаторы, загустители, биоциды и компоненты для огнезащитных и гидроизоляционных составов.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Номенклатура продукции насчитывает порядка 250 наименований: средства защиты древесины, интерьерные и фасадные краски, эмали, лаки, грунтовки, декоративные покрытия, а также специализированные огнезащитные и гидроизоляционные материалы. Качество поддерживается за счёт автоматизации процессов и поэтапного контроля.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2.2.3. Требования безопасности при работе в цехах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Безопасность обеспечивается комплексом организационных и технических мер: регулярные инструктажи и проверка знаний; максимальная автоматизация процессов для снижения контакта персонала с опасными веществами; строгий порядок работы с ЛВЖ и ГЖ; наличие систем пожаротушения и оповещения; обязательное применение СИЗ. Для снижения воздействия на работников и окружающую среду используются конденсация паров растворителей и очистка сточных вод.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работе с кислотами и щелочами обязательны герметичные очки, химически стойкая спецодежда и перчатки; вблизи рабочих зон размещены аварийные фонтаны для промывки глаз. В органическом цехе электрооборудование выполняется во взрывозащищённом исполнении, вход организован через тамбур-шлюз с подпором воздуха, аппараты и трубопроводы заземляются, применяются антистатические решения.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Отдельное внимание уделяется загрузке сырья. Жидкости подаются по шлангам через краны; сухие компоненты загружаются через люки. После загрузки аппаратчик не переходит к следующей стадии без подтверждения технолога — такой порядок снижает риск ошибок, связанных с человеческим фактором.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2.3. Освидетельствование, приём и сдача оборудования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Техническое освидетельствование начинается с планирования: составляют перечень объектов и графики работ, формируют комиссию приказом. Комиссия изучает документацию, проводит осмотр, проверяет работоспособность и параметры; при необходимости привлекают экспертные организации. По итогам оформляют акт с выводом о возможности дальнейшей эксплуатации, необходимых мероприятиях и сроке следующего освидетельствования, после чего контролируют исполнение рекомендаций.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приёмке нового оборудования издают приказ о составе комиссии и задачах, готовят площадку, сверяют комплектность и характеристики с документами, фиксируют замечания. При необходимости проверяют готовность места установки, участвуют в наладке и опытной эксплуатации, оформляют акты и проводят инструктаж персонала, который будет работать на объекте.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Сдача оборудования оформляется после согласования с техническими службами, ОТ и ПБ. Комиссия оценивает состояние объекта и составляет акт сдачи-приёмки с перечнем замечаний; на его основании принимают решение о принятии к учёту, доработке, списании или передаче.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2.4. Государственный надзор и результаты проверок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контроль осуществляют Ростехнадзор (промышленная безопасность ёмкостного оборудования и опасных производственных объектов), Роструд (соблюдение трудового законодательства и охраны труда, медосмотры, СИЗ, инструктажи), органы государственного пожарного надзора (системы пожарной защиты, первичные средства, эвакуация) и Роспотребнадзор (санитарные условия, вентиляция, воздух рабочей зоны).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материалах практики приведены примеры замечаний по итогам проверки Центрального управления Ростехнадзора (в том числе 2019 г.): организационные нарушения (отсутствие отдельных назначений, документов, схем, перечней) и технические (нет инвентарного номера на переносном электронагревателе, не обозначены светильники аварийного освещения, отсутствуют стрелки направления вращения на электродвигателях). Такие замечания подлежат устранению в установленные сроки. Внутренний общественный контроль поддерживают уполномоченные по охране труда и профсоюзные представители.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2.5. Результаты СОУТ и мероприятия по улучшению условий труда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Специальная оценка условий труда проводится в соответствии с Федеральным законом № 426-ФЗ не реже одного раза в пять лет, а также внепланово при изменении условий. На рабочих местах лакокрасочного производства идентифицируются химический фактор (пары растворителей и других веществ), аэрозоли преимущественно фиброгенного действия (пыль при растаривании и загрузке), шум, вибрация, параметры микроклимата, освещённость, электромагнитные поля и статическое электричество, а также показатели тяжести и напряжённости труда.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СОУТ большинство рабочих мест отнесено ко 2-му классу (допустимые условия). Участки с более интенсивным контактом с химическими веществами и работой на технологическом оборудовании могут относиться к 3-му классу (вредные условия) с соответствующими гарантиями и компенсациями. Благодаря вентиляции, автоматизации и средствам контроля класс условий труда на предприятии удерживается в допустимых пределах на значительной части мест.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План улучшения условий труда включает управленческие меры (актуализация регламентов, информирование персонала, медосмотры по Приказу Минздрава № 29н), технические решения (модернизация оборудования, автоматика, очистные сооружения), контроль СИЗ и развитие санитарно-бытовой инфраструктуры. Исполнение контролируют служба охраны труда, руководители подразделений и надзорные органы при проверках.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Среди инженерных средств защиты отмечу приточно-вытяжную вентиляцию (приток — через венткамеру с фильтрами и подогревом; вытяжка — с кровли), пожарные клапаны в воздуховодах, водно-пенную спринклерную систему (срабатывание колб около 68 °C, поддержание давления насосом «джакей»), зенитные фонари для дымоудаления, СОУЭ, а также первичные средства пожаротушения. Персонал обеспечивается очками, респираторами, антистатической спецодеждой и химзащитой при работе с агрессивными средами.</w:t>
      </w:r>
    </w:p>
    <w:p>
      <w:pPr>
        <w:spacing w:before="16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2.6. Экономические показатели предприятия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данным за 2025 год предприятие демонстрирует рост ключевых показателей: выручка — около 6,3 млрд руб., чистая прибыль — около 569,5 млн руб. В отчётном периоде, по доступным сведениям практики, предприятие не фигурировало в сводках происшествий, связанных с тяжёлым производственным травматизмом, что косвенно свидетельствует об эффективности профилактической работы службы охраны труда и инженерных систем безопасности. Вместе с тем потенциальный экономический ущерб от аварии или пожара на объекте с ЛВЖ остаётся высоким, поэтому приоритетом остаётся предупреждение инцидентов.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производственной практики на ООО «НПП Рогнеда» мной выполнены поставленные задачи. Я ознакомилась со структурой предприятия и организацией работы специалистов по охране труда и промышленной безопасности, изучила систему инструктажей, порядок работ повышенной опасности, подходы к освидетельствованию оборудования, а также результаты СОУТ и комплекс мер коллективной и индивидуальной защиты.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Можно сделать вывод, что производство лакокрасочных материалов связано с существенными пожаровзрывоопасными и химическими рисками, однако на предприятии выстроена система управления этими рисками: от организационных процедур и обучения персонала до инженерных систем вентиляции, взрывозащиты, пожаротушения и контроля воздушной среды. Полученный опыт полезен для дальнейшего обучения по направлению «Техносферная безопасность» и понимания практической роли инженера по охране труда на химическом производстве.</w:t>
      </w:r>
    </w:p>
    <w:p>
      <w:pPr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Список используемой литературы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1. Трудовой кодекс Российской Федерации от 30.12.2001 № 197-ФЗ (глава 10 «Охрана труда»).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2. Федеральный закон от 28.12.2013 № 426-ФЗ «О специальной оценке условий труда».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3. Федеральный закон от 21.07.1997 № 116-ФЗ «О промышленной безопасности опасных производственных объектов».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4. 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5. Приказ Минтруда России от 29.10.2021 № 774н «Об утверждении Общих требований к организации безопасного рабочего места».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6. ГОСТ 12.1.005-88 «ССБТ. Общие санитарно-гигиенические требования к воздуху рабочей зоны».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7. ГОСТ 12.4.011-89 «ССБТ. Средства защиты работающих. Общие требования и классификация».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8. СП 60.13330.2020 «Отопление, вентиляция и кондиционирование воздуха».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9. О компании // Рогнеда. — URL: https://www.rogneda.ru/company/ (дата обращения: 15.07.2026).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10. ООО «НПП Рогнеда» // Companium.ru. — URL: https://companium.ru/id/1147746529920-npp-rogneda (дата обращения: 15.07.2026).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11. Технологический регламент производства лакокрасочных материалов ООО «НПП РОГНЕДА» (материалы предприятия).</w:t>
      </w:r>
    </w:p>
    <w:p>
      <w:pPr>
        <w:pStyle w:val="ListParagraph"/>
        <w:spacing w:after="40" w:before="0" w:line="276" w:lineRule="auto"/>
        <w:jc w:val="both"/>
      </w:pPr>
      <w:r>
        <w:rPr>
          <w:rFonts w:ascii="Times New Roman" w:hAnsi="Times New Roman" w:eastAsia="Times New Roman"/>
          <w:sz w:val="28"/>
        </w:rPr>
        <w:t>12. Материалы производственной практики на ООО «НПП Рогнеда», 2026 г.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  <w:tbl>
      <w:tblPr>
        <w:tblW w:w="0" w:type="auto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394"/>
      </w:tblGrid>
      <w:tr w:rsidR="00DF7EB2" w:rsidRPr="00DF7EB2" w14:paraId="7AF063F0" w14:textId="77777777" w:rsidTr="00D47F47">
        <w:trPr>
          <w:trHeight w:val="493"/>
        </w:trPr>
        <w:tc>
          <w:tcPr>
            <w:tcW w:w="453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23343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Факультет</w:t>
            </w:r>
          </w:p>
          <w:p w14:paraId="1215772C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инженерный химико-технологический</w:t>
            </w:r>
          </w:p>
        </w:tc>
        <w:tc>
          <w:tcPr>
            <w:tcW w:w="4394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8980B0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</w:p>
          <w:p w14:paraId="221AD880" w14:textId="77777777" w:rsidR="00DF7EB2" w:rsidRPr="00DF7EB2" w:rsidRDefault="00DF7EB2" w:rsidP="00DF7E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техносферной безопасности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102"/>
      </w:tblGrid>
      <w:tr w:rsidR="00DF7EB2" w:rsidRPr="00DF7EB2" w14:paraId="18FBC7BD" w14:textId="77777777" w:rsidTr="00D47F47">
        <w:trPr>
          <w:trHeight w:val="870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C6B0D4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Студент: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7A5C34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 ___________/</w:t>
            </w:r>
          </w:p>
          <w:p w14:paraId="523010A7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  <w:tr w:rsidR="00DF7EB2" w:rsidRPr="00DF7EB2" w14:paraId="51D88338" w14:textId="77777777" w:rsidTr="00D47F47">
        <w:trPr>
          <w:trHeight w:val="855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A54D0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Руководитель практики от организации</w:t>
            </w: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04570E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________/Благодарова С.П./</w:t>
            </w:r>
          </w:p>
          <w:p w14:paraId="068C5D00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  <w:tr w:rsidR="00DF7EB2" w:rsidRPr="00DF7EB2" w14:paraId="1CF59B75" w14:textId="77777777" w:rsidTr="00D47F47">
        <w:trPr>
          <w:trHeight w:val="855"/>
        </w:trPr>
        <w:tc>
          <w:tcPr>
            <w:tcW w:w="425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EDA59" w14:textId="77777777" w:rsidR="00DF7EB2" w:rsidRPr="00DF7EB2" w:rsidRDefault="00DF7EB2" w:rsidP="00DF7EB2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Руководитель практики от университета:</w:t>
            </w:r>
          </w:p>
        </w:tc>
        <w:tc>
          <w:tcPr>
            <w:tcW w:w="510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B94D2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________     ________/Мельников Н.О./</w:t>
            </w:r>
          </w:p>
          <w:p w14:paraId="0A092C4F" w14:textId="77777777" w:rsidR="00DF7EB2" w:rsidRPr="00DF7EB2" w:rsidRDefault="00DF7EB2" w:rsidP="00DF7EB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7EB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(дата)              (подпись)</w:t>
            </w:r>
          </w:p>
        </w:tc>
      </w:tr>
    </w:tbl>
    <w:tbl>
      <w:tblPr>
        <w:tblStyle w:val="af5"/>
        <w:tblW w:w="9634" w:type="dxa"/>
        <w:tblLayout w:type="fixed"/>
        <w:tblLook w:val="04A0" w:firstRow="1" w:lastRow="0" w:firstColumn="1" w:lastColumn="0" w:noHBand="0" w:noVBand="1"/>
      </w:tblPr>
      <w:tblGrid>
        <w:gridCol w:w="594"/>
        <w:gridCol w:w="7481"/>
        <w:gridCol w:w="1559"/>
      </w:tblGrid>
      <w:tr w:rsidR="00015813" w14:paraId="10361F2F" w14:textId="77777777" w:rsidTr="00CB0E8C">
        <w:tc>
          <w:tcPr>
            <w:tcW w:w="594" w:type="dxa"/>
          </w:tcPr>
          <w:p w14:paraId="7518242E" w14:textId="1B0F57C5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7481" w:type="dxa"/>
          </w:tcPr>
          <w:p w14:paraId="3A30F9E3" w14:textId="1F160052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Содержание практики</w:t>
            </w:r>
          </w:p>
        </w:tc>
        <w:tc>
          <w:tcPr>
            <w:tcW w:w="1559" w:type="dxa"/>
          </w:tcPr>
          <w:p w14:paraId="03EF5901" w14:textId="340D2A77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Количество часов</w:t>
            </w:r>
          </w:p>
        </w:tc>
      </w:tr>
      <w:tr w:rsidR="00015813" w14:paraId="2E79391B" w14:textId="77777777" w:rsidTr="00CB0E8C">
        <w:tc>
          <w:tcPr>
            <w:tcW w:w="594" w:type="dxa"/>
          </w:tcPr>
          <w:p w14:paraId="0756FACF" w14:textId="2A170CDA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481" w:type="dxa"/>
          </w:tcPr>
          <w:p w14:paraId="2EE09B89" w14:textId="6EBD6FF9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Знакомство с программой практики, вводный инструктаж по ТБ, общее представление о предприятии</w:t>
            </w:r>
          </w:p>
        </w:tc>
        <w:tc>
          <w:tcPr>
            <w:tcW w:w="1559" w:type="dxa"/>
          </w:tcPr>
          <w:p w14:paraId="79BBA36B" w14:textId="12F3BC75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1 час</w:t>
            </w:r>
          </w:p>
        </w:tc>
      </w:tr>
      <w:tr w:rsidR="00015813" w14:paraId="4C29661D" w14:textId="77777777" w:rsidTr="00CB0E8C">
        <w:tc>
          <w:tcPr>
            <w:tcW w:w="594" w:type="dxa"/>
          </w:tcPr>
          <w:p w14:paraId="7B9096BF" w14:textId="5154D079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481" w:type="dxa"/>
          </w:tcPr>
          <w:p w14:paraId="74F42AB3" w14:textId="41E45878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Изучение государственного надзора и контроля в области ОТ и ПБ, а также общественного контроля</w:t>
            </w:r>
          </w:p>
        </w:tc>
        <w:tc>
          <w:tcPr>
            <w:tcW w:w="1559" w:type="dxa"/>
          </w:tcPr>
          <w:p w14:paraId="5617050B" w14:textId="7022DDC4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1 час</w:t>
            </w:r>
          </w:p>
        </w:tc>
      </w:tr>
      <w:tr w:rsidR="00015813" w14:paraId="5DC73426" w14:textId="77777777" w:rsidTr="00CB0E8C">
        <w:tc>
          <w:tcPr>
            <w:tcW w:w="594" w:type="dxa"/>
          </w:tcPr>
          <w:p w14:paraId="6B3F4EAF" w14:textId="3DCEA486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481" w:type="dxa"/>
          </w:tcPr>
          <w:p w14:paraId="76BA7BD8" w14:textId="2E21B734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Обход водопримессионного (ВДК) и органического цехов</w:t>
            </w:r>
            <w:r w:rsidR="007217DA" w:rsidRPr="00500630">
              <w:rPr>
                <w:rFonts w:ascii="Times New Roman" w:hAnsi="Times New Roman" w:cs="Times New Roman"/>
                <w:sz w:val="28"/>
              </w:rPr>
            </w:r>
            <w:r w:rsidR="00CB0E8C">
              <w:rPr>
                <w:rFonts w:ascii="Times New Roman" w:hAnsi="Times New Roman" w:cs="Times New Roman"/>
                <w:sz w:val="28"/>
              </w:rPr>
            </w:r>
            <w:r w:rsidR="007217DA" w:rsidRPr="00500630">
              <w:rPr>
                <w:rFonts w:ascii="Times New Roman" w:hAnsi="Times New Roman" w:cs="Times New Roman"/>
                <w:sz w:val="28"/>
              </w:rPr>
            </w:r>
            <w:r w:rsidR="00CB0E8C" w:rsidRPr="00500630"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W w:w="1559" w:type="dxa"/>
          </w:tcPr>
          <w:p w14:paraId="6B2DF970" w14:textId="01FD4915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2 часа</w:t>
            </w:r>
          </w:p>
        </w:tc>
      </w:tr>
      <w:tr w:rsidR="00015813" w14:paraId="0E038413" w14:textId="77777777" w:rsidTr="00CB0E8C">
        <w:tc>
          <w:tcPr>
            <w:tcW w:w="594" w:type="dxa"/>
          </w:tcPr>
          <w:p w14:paraId="3E287663" w14:textId="4A2E6BF7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481" w:type="dxa"/>
          </w:tcPr>
          <w:p w14:paraId="315292FA" w14:textId="525E7351" w:rsidR="00015813" w:rsidRPr="00500630" w:rsidRDefault="00CB0E8C" w:rsidP="00CB0E8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Посещение лаборатории, склада сырья и склада готовой продукции</w:t>
            </w:r>
            <w:r>
              <w:rPr>
                <w:rFonts w:ascii="Times New Roman" w:hAnsi="Times New Roman" w:cs="Times New Roman"/>
                <w:sz w:val="28"/>
              </w:rPr>
            </w:r>
            <w:r w:rsidRPr="00500630">
              <w:rPr>
                <w:rFonts w:ascii="Times New Roman" w:hAnsi="Times New Roman" w:cs="Times New Roman"/>
                <w:sz w:val="28"/>
              </w:rPr>
            </w:r>
          </w:p>
        </w:tc>
        <w:tc>
          <w:tcPr>
            <w:tcW w:w="1559" w:type="dxa"/>
          </w:tcPr>
          <w:p w14:paraId="47DD4096" w14:textId="091C5319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1 час</w:t>
            </w:r>
          </w:p>
        </w:tc>
      </w:tr>
      <w:tr w:rsidR="00015813" w14:paraId="10B80C06" w14:textId="77777777" w:rsidTr="00CB0E8C">
        <w:tc>
          <w:tcPr>
            <w:tcW w:w="594" w:type="dxa"/>
          </w:tcPr>
          <w:p w14:paraId="37EE8E9E" w14:textId="3B092404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481" w:type="dxa"/>
          </w:tcPr>
          <w:p w14:paraId="55E20256" w14:textId="5B75D557" w:rsidR="00015813" w:rsidRPr="00500630" w:rsidRDefault="00CB0E8C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Изучение СУОТ и системы промышленной безопасности</w:t>
            </w:r>
          </w:p>
        </w:tc>
        <w:tc>
          <w:tcPr>
            <w:tcW w:w="1559" w:type="dxa"/>
          </w:tcPr>
          <w:p w14:paraId="5A808D42" w14:textId="05FA85F1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30 мин</w:t>
            </w:r>
          </w:p>
        </w:tc>
      </w:tr>
      <w:tr w:rsidR="00015813" w14:paraId="7940FBC0" w14:textId="77777777" w:rsidTr="00CB0E8C">
        <w:tc>
          <w:tcPr>
            <w:tcW w:w="594" w:type="dxa"/>
          </w:tcPr>
          <w:p w14:paraId="7FB1FCFF" w14:textId="68B77010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7481" w:type="dxa"/>
          </w:tcPr>
          <w:p w14:paraId="6A43B307" w14:textId="7971210A" w:rsidR="00015813" w:rsidRPr="00500630" w:rsidRDefault="00CB0E8C" w:rsidP="00210C0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B0E8C">
              <w:rPr>
                <w:rFonts w:ascii="Times New Roman" w:hAnsi="Times New Roman" w:cs="Times New Roman"/>
                <w:sz w:val="28"/>
              </w:rPr>
              <w:t>Ознакомление с порядком освидетельствования, приёма и сдачи оборудования</w:t>
            </w:r>
          </w:p>
        </w:tc>
        <w:tc>
          <w:tcPr>
            <w:tcW w:w="1559" w:type="dxa"/>
          </w:tcPr>
          <w:p w14:paraId="4237FF11" w14:textId="6057A7A0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30 мин</w:t>
            </w:r>
          </w:p>
        </w:tc>
      </w:tr>
      <w:tr w:rsidR="00015813" w14:paraId="249EC88B" w14:textId="77777777" w:rsidTr="00CB0E8C">
        <w:tc>
          <w:tcPr>
            <w:tcW w:w="594" w:type="dxa"/>
          </w:tcPr>
          <w:p w14:paraId="4D06E704" w14:textId="60530202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7481" w:type="dxa"/>
          </w:tcPr>
          <w:p w14:paraId="1CD95E72" w14:textId="5EAE4AB9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Изучение причин травматизма, аварий и пожаров на основании актов расследований, технических методов и средств защиты персонала от опасных и вредных факторов</w:t>
            </w:r>
          </w:p>
        </w:tc>
        <w:tc>
          <w:tcPr>
            <w:tcW w:w="1559" w:type="dxa"/>
          </w:tcPr>
          <w:p w14:paraId="5A08F4A8" w14:textId="1DC67D3E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30 мин</w:t>
            </w:r>
          </w:p>
        </w:tc>
      </w:tr>
      <w:tr w:rsidR="00015813" w14:paraId="4E776BE0" w14:textId="77777777" w:rsidTr="00CB0E8C">
        <w:tc>
          <w:tcPr>
            <w:tcW w:w="594" w:type="dxa"/>
          </w:tcPr>
          <w:p w14:paraId="6ACA042E" w14:textId="1F819E48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7481" w:type="dxa"/>
          </w:tcPr>
          <w:p w14:paraId="630F5278" w14:textId="454D1FB2" w:rsidR="00015813" w:rsidRPr="00500630" w:rsidRDefault="00CB0E8C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B0E8C">
              <w:rPr>
                <w:rFonts w:ascii="Times New Roman" w:hAnsi="Times New Roman" w:cs="Times New Roman"/>
                <w:sz w:val="28"/>
              </w:rPr>
              <w:t>Ознакомление с результатами СОУТ и планом улучшения условий труда</w:t>
            </w:r>
          </w:p>
        </w:tc>
        <w:tc>
          <w:tcPr>
            <w:tcW w:w="1559" w:type="dxa"/>
          </w:tcPr>
          <w:p w14:paraId="5DDBA5E0" w14:textId="62BF7E60" w:rsidR="00015813" w:rsidRPr="00500630" w:rsidRDefault="00B47179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30 мин</w:t>
            </w:r>
          </w:p>
        </w:tc>
      </w:tr>
      <w:tr w:rsidR="00015813" w14:paraId="54C8340C" w14:textId="77777777" w:rsidTr="00CB0E8C">
        <w:tc>
          <w:tcPr>
            <w:tcW w:w="594" w:type="dxa"/>
          </w:tcPr>
          <w:p w14:paraId="69908CCB" w14:textId="33967819" w:rsidR="00015813" w:rsidRPr="00500630" w:rsidRDefault="00015813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7481" w:type="dxa"/>
          </w:tcPr>
          <w:p w14:paraId="6976373D" w14:textId="04F723EC" w:rsidR="00015813" w:rsidRPr="00500630" w:rsidRDefault="00B73F4B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ИТОГ</w:t>
            </w:r>
          </w:p>
        </w:tc>
        <w:tc>
          <w:tcPr>
            <w:tcW w:w="1559" w:type="dxa"/>
          </w:tcPr>
          <w:p w14:paraId="773203C9" w14:textId="4809F04C" w:rsidR="00015813" w:rsidRPr="00500630" w:rsidRDefault="00B73F4B" w:rsidP="005F3C9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00630">
              <w:rPr>
                <w:rFonts w:ascii="Times New Roman" w:hAnsi="Times New Roman" w:cs="Times New Roman"/>
                <w:sz w:val="28"/>
              </w:rPr>
              <w:t>7 часов</w:t>
            </w:r>
          </w:p>
        </w:tc>
      </w:tr>
    </w:tbl>
    <w:tbl>
      <w:tblPr>
        <w:tblStyle w:val="af5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6"/>
        <w:gridCol w:w="1843"/>
        <w:gridCol w:w="3913"/>
        <w:gridCol w:w="3742"/>
      </w:tblGrid>
      <w:tr w:rsidR="00A96C30" w14:paraId="63395272" w14:textId="77777777" w:rsidTr="00A96C30">
        <w:tc>
          <w:tcPr>
            <w:tcW w:w="426" w:type="dxa"/>
          </w:tcPr>
          <w:p w14:paraId="5F7CF2AD" w14:textId="4F162655" w:rsidR="00A96C30" w:rsidRPr="00A96C30" w:rsidRDefault="00A96C30" w:rsidP="005F3C9C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№</w:t>
            </w:r>
          </w:p>
        </w:tc>
        <w:tc>
          <w:tcPr>
            <w:tcW w:w="1843" w:type="dxa"/>
          </w:tcPr>
          <w:p w14:paraId="5776AE4A" w14:textId="4043BD6D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Вид инструктажа</w:t>
            </w:r>
          </w:p>
        </w:tc>
        <w:tc>
          <w:tcPr>
            <w:tcW w:w="3913" w:type="dxa"/>
          </w:tcPr>
          <w:p w14:paraId="7F0925BF" w14:textId="10F4A5A6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Цель проведения</w:t>
            </w:r>
          </w:p>
        </w:tc>
        <w:tc>
          <w:tcPr>
            <w:tcW w:w="3742" w:type="dxa"/>
          </w:tcPr>
          <w:p w14:paraId="1CF9FA90" w14:textId="3FA46D3C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Сроки проведения</w:t>
            </w:r>
          </w:p>
        </w:tc>
      </w:tr>
      <w:tr w:rsidR="00A96C30" w14:paraId="032D5FC1" w14:textId="77777777" w:rsidTr="00A96C30">
        <w:tc>
          <w:tcPr>
            <w:tcW w:w="426" w:type="dxa"/>
          </w:tcPr>
          <w:p w14:paraId="291CD4D4" w14:textId="1A74164C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521D94B1" w14:textId="6CE2BB53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Вводный </w:t>
            </w:r>
          </w:p>
        </w:tc>
        <w:tc>
          <w:tcPr>
            <w:tcW w:w="3913" w:type="dxa"/>
          </w:tcPr>
          <w:p w14:paraId="53DE35AC" w14:textId="5499D224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Ознакомление с общими правилами охраны труда, внутренним трудовым распорядком, основными опасностями на предприятии, правилами поведения на территории и в производственных помещениях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742" w:type="dxa"/>
          </w:tcPr>
          <w:p w14:paraId="0EBDEC7E" w14:textId="2C1F9A14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Проводится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до заключения трудового договора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со всеми вновь принимаемыми на работу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A96C30" w14:paraId="7250BFF3" w14:textId="77777777" w:rsidTr="00A96C30">
        <w:tc>
          <w:tcPr>
            <w:tcW w:w="426" w:type="dxa"/>
          </w:tcPr>
          <w:p w14:paraId="7EBF286E" w14:textId="72881814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14:paraId="067F0272" w14:textId="51393DA3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Первичный </w:t>
            </w:r>
          </w:p>
        </w:tc>
        <w:tc>
          <w:tcPr>
            <w:tcW w:w="3913" w:type="dxa"/>
          </w:tcPr>
          <w:p w14:paraId="518D8AFB" w14:textId="3B0547A1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Ознакомление с конкретными опасными и вредными производственными факторами на рабочем месте, безопасными приемами и методами работы, инструкциями по охране труда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742" w:type="dxa"/>
          </w:tcPr>
          <w:p w14:paraId="3E19A889" w14:textId="5366B36D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Проводится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до начала самостоятельной работы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с работниками, принятыми на работу, переведенными из одного подразделения в другое, а также с работниками, выполняющими новую для них работу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A96C30" w14:paraId="3C15B8B8" w14:textId="77777777" w:rsidTr="00A96C30">
        <w:tc>
          <w:tcPr>
            <w:tcW w:w="426" w:type="dxa"/>
          </w:tcPr>
          <w:p w14:paraId="1EE0C2B1" w14:textId="6A10B97D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2F99CC0E" w14:textId="1BFE7201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Повторный </w:t>
            </w:r>
          </w:p>
        </w:tc>
        <w:tc>
          <w:tcPr>
            <w:tcW w:w="3913" w:type="dxa"/>
          </w:tcPr>
          <w:p w14:paraId="3A360110" w14:textId="01F1F9B5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Закрепление и обновление знаний по безопасным методам и приемам работы, профилактика производственного травматизма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742" w:type="dxa"/>
          </w:tcPr>
          <w:p w14:paraId="44D3A3B2" w14:textId="25FE4559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Проводится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не реже одного раза в 6 месяцев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для всех работников, прошедших первичный инструктаж. Для работ на особо опасных и вредных работах –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не реже 1 раза в 3 месяца</w:t>
            </w:r>
            <w:r w:rsidR="005C4D34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A96C30" w14:paraId="647B7264" w14:textId="77777777" w:rsidTr="00A96C30">
        <w:tc>
          <w:tcPr>
            <w:tcW w:w="426" w:type="dxa"/>
          </w:tcPr>
          <w:p w14:paraId="285C35EC" w14:textId="1EA8E4ED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14:paraId="748D78B8" w14:textId="0B685766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Внеплановый </w:t>
            </w:r>
          </w:p>
        </w:tc>
        <w:tc>
          <w:tcPr>
            <w:tcW w:w="3913" w:type="dxa"/>
          </w:tcPr>
          <w:p w14:paraId="725D30D0" w14:textId="26B73EA0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Актуализация знаний в связи с изменением технологического процесса, заменой оборудования, нарушением требований безопасности, 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перерывами в работе, поступлением новых нормативных документов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742" w:type="dxa"/>
          </w:tcPr>
          <w:p w14:paraId="7C269312" w14:textId="7779B783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Проводится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внепланово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при: введении новых или изменении законодательных актов; изменении технологического процесса; 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>замене оборудования; по требованию надзорных органов.</w:t>
            </w:r>
          </w:p>
        </w:tc>
      </w:tr>
      <w:tr w:rsidR="00A96C30" w14:paraId="03F50A47" w14:textId="77777777" w:rsidTr="00A96C30">
        <w:tc>
          <w:tcPr>
            <w:tcW w:w="426" w:type="dxa"/>
          </w:tcPr>
          <w:p w14:paraId="6EE058BE" w14:textId="50631CE2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843" w:type="dxa"/>
          </w:tcPr>
          <w:p w14:paraId="2FB958E0" w14:textId="3CED9F06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Целевой </w:t>
            </w:r>
          </w:p>
        </w:tc>
        <w:tc>
          <w:tcPr>
            <w:tcW w:w="3913" w:type="dxa"/>
          </w:tcPr>
          <w:p w14:paraId="749359EC" w14:textId="5EEA4B0D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Обеспечение безопасного выполнения разовых работ, не связанных с прямыми обязанностями работника (ликвидация аварий, выполнение работ по наряду-допуску и т.д.)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3742" w:type="dxa"/>
          </w:tcPr>
          <w:p w14:paraId="53ED96B0" w14:textId="5D4E2423" w:rsidR="00A96C30" w:rsidRPr="00A96C30" w:rsidRDefault="00A96C30" w:rsidP="005F3C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Проводится </w:t>
            </w:r>
            <w:r w:rsidRPr="00A96C30">
              <w:rPr>
                <w:rStyle w:val="af4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непосредственно перед выполнением </w:t>
            </w:r>
            <w:r w:rsidRPr="00A96C3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конкретных разовых работ, работ по наряду-допуску, при ликвидации последствий аварий</w:t>
            </w:r>
            <w:r w:rsidR="005C4D3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