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НАУЧНО-ИССЛЕДОВАТЕЛЬСКАЯ РАБОТА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Тема:</w:t>
      </w:r>
      <w:r>
        <w:rPr>
          <w:rFonts w:ascii="Times New Roman" w:hAnsi="Times New Roman" w:eastAsia="Times New Roman"/>
          <w:b w:val="0"/>
          <w:sz w:val="28"/>
        </w:rPr>
        <w:t xml:space="preserve"> Анализ законодательства иностранных государств в части электронного документооборота (в целом) и в части электронного документооборота в охране труда. Сравнение с российской практикой.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Вид документа:</w:t>
      </w:r>
      <w:r>
        <w:rPr>
          <w:rFonts w:ascii="Times New Roman" w:hAnsi="Times New Roman" w:eastAsia="Times New Roman"/>
          <w:b w:val="0"/>
          <w:sz w:val="28"/>
        </w:rPr>
        <w:t xml:space="preserve"> полный черновик разделов (введение, главы 1–3, заключение, источники).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Актуализация источников:</w:t>
      </w:r>
      <w:r>
        <w:rPr>
          <w:rFonts w:ascii="Times New Roman" w:hAnsi="Times New Roman" w:eastAsia="Times New Roman"/>
          <w:b w:val="0"/>
          <w:sz w:val="28"/>
        </w:rPr>
        <w:t xml:space="preserve"> август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Ядро юрисдикций:</w:t>
      </w:r>
      <w:r>
        <w:rPr>
          <w:rFonts w:ascii="Times New Roman" w:hAnsi="Times New Roman" w:eastAsia="Times New Roman"/>
          <w:b w:val="0"/>
          <w:sz w:val="28"/>
        </w:rPr>
        <w:t xml:space="preserve"> Европейский союз, Великобритания, США, Сингапур, Китай, Казахстан / ЕАЭС; линия сравнения — Российская Федерация.</w:t>
      </w:r>
    </w:p>
    <w:p>
      <w:pPr>
        <w:pStyle w:val="Heading1"/>
      </w:pPr>
      <w:r>
        <w:t>ВВЕДЕНИЕ</w:t>
      </w:r>
    </w:p>
    <w:p>
      <w:pPr>
        <w:pStyle w:val="Heading2"/>
      </w:pPr>
      <w:r>
        <w:t>§ 1. Актуальность 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Цифровизация трудовых и охранительных процессов ставит перед правом один и тот же вопрос в разных формулировках: при каких условиях электронная запись заменяет бумажный документ так, чтобы инспектор, суд и стороны трудового договора могли на неё опираться. В коммерческом обороте ответ давно дан через законы об электронной подписи и электронных записях. В охране труда ответ сложнее: документ здесь одновременно служит доказательством исполнения обязанности работодателя, инструментом допуска к работе и материалом государственного контроля.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кадровый электронный документооборот закреплён в ст. 22.1–22.3 Трудового кодекса РФ, а обучение по охране труда детализировано Правилами, утверждёнными постановлением Правительства РФ от 24.12.2021 № 2464. Одновременно ч. 3 ст. 22.1 ТК РФ исключает из кадрового ЭДО документы, подтверждающие прохождение инструктажей по охране труда, и акты о несчастном случае на производстве. Получается внутреннее напряжение: общая цифровизация трудовых документов продвигается, а ключевые доказательства по охране труда остаются в бумажной логике.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 рубежом специального «закона об ЭДО в охране труда» почти нигде нет. Электронные журналы инструктажей, записи обучения, оценки рисков и отчётность по травматизму обычно выводятся из общей рамки электронной подписи/записи плюс отраслевых требований OSH/WSH. Поэтому корректный сравнительно-правовой анализ требует двух уровней: сначала — регулирование ЭДО в целом, затем — его применение к процессам охраны труда, и только после этого — сравнение с российской практикой.</w:t>
      </w:r>
    </w:p>
    <w:p>
      <w:pPr>
        <w:pStyle w:val="Heading2"/>
      </w:pPr>
      <w:r>
        <w:t>§ 2. Степень научной разработанности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Общие вопросы юридической силы электронных документов и подписей подробно исследованы в доктрине информационного и гражданского права, а также в материалах UNCITRAL и комментариях к eIDAS. Значительно меньше работ, где эта рамка последовательно приложена именно к охранительным документам: журналам инструктажей, протоколам обучения, нарядам-допускам, актам несчастных случаев.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практика кадрового ЭДО и применения № 2464 активно обсуждается в прикладных обзорах, разъяснениях и консультациях, но сравнительные исследования обычно либо ограничиваются общим ЭДО (63‑ФЗ), либо описывают зарубежную охрану труда без привязки к режиму электронной подписи. Настоящая работа соединяет оба пласта.</w:t>
      </w:r>
    </w:p>
    <w:p>
      <w:pPr>
        <w:pStyle w:val="Heading2"/>
      </w:pPr>
      <w:r>
        <w:t>§ 3. Цель, задачи, объект и предмет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Цель</w:t>
      </w:r>
      <w:r>
        <w:rPr>
          <w:rFonts w:ascii="Times New Roman" w:hAnsi="Times New Roman" w:eastAsia="Times New Roman"/>
          <w:b w:val="0"/>
          <w:sz w:val="28"/>
        </w:rPr>
        <w:t xml:space="preserve"> — на основе анализа законодательства и практики иностранных государств выявить модели регулирования ЭДО в целом и особенности применения ЭДО в охране труда, а также сформулировать сравнительно-правовые выводы и предложения для российской 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Задачи: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1) раскрыть общетеоретические основы регулирования ЭДО в иностранных государствах и международные модели;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2) систематизировать зарубежный опыт применения ЭДО в ключевых процессах охраны труда;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3) сопоставить зарубежные подходы с российским регулированием (63‑ФЗ, ст. 22.1–22.3 ТК РФ, ПП № 2464);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4) определить, какие элементы зарубежного опыта целесообразно заимствовать, а какие переносить нельзя.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Объект</w:t>
      </w:r>
      <w:r>
        <w:rPr>
          <w:rFonts w:ascii="Times New Roman" w:hAnsi="Times New Roman" w:eastAsia="Times New Roman"/>
          <w:b w:val="0"/>
          <w:sz w:val="28"/>
        </w:rPr>
        <w:t xml:space="preserve"> — правовое регулирование электронного документооборота и практика его применения.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Предмет</w:t>
      </w:r>
      <w:r>
        <w:rPr>
          <w:rFonts w:ascii="Times New Roman" w:hAnsi="Times New Roman" w:eastAsia="Times New Roman"/>
          <w:b w:val="0"/>
          <w:sz w:val="28"/>
        </w:rPr>
        <w:t xml:space="preserve"> — юридическая сила электронных документов/записей и подписей; инфраструктура доверия; хранение и доказывание; трансграничное признание; применение этой рамки к документам и процессам охраны труда.</w:t>
      </w:r>
    </w:p>
    <w:p>
      <w:pPr>
        <w:pStyle w:val="Heading2"/>
      </w:pPr>
      <w:r>
        <w:t>§ 4. Методология и методы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метод — сравнительно-правовой. Используются также формально-юридический анализ текстов, системный подход (общее ЭДО → отраслевое применение → сравнение с РФ) и элементы правового моделирования (предложения de lege lata / de lege ferenda).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Иерархия источников: (1) законы и регламенты; (2) подзаконные акты; (3) официальные разъяснения регуляторов; (4) судебная практика — точечно; (5) стандарты ISO/ILO как практика менеджмента, не как норма права; (6) доктрина и обзоры — только как навигатор к актам уровней 1–3.</w:t>
      </w:r>
    </w:p>
    <w:p>
      <w:pPr>
        <w:pStyle w:val="Heading2"/>
      </w:pPr>
      <w:r>
        <w:t>§ 5. Границы исследования и выборка юрисдикций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ядро включены шесть юрисдикций, представляющих разные модели: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ЕС</w:t>
      </w:r>
      <w:r>
        <w:rPr>
          <w:rFonts w:ascii="Times New Roman" w:hAnsi="Times New Roman" w:eastAsia="Times New Roman"/>
          <w:b w:val="0"/>
          <w:sz w:val="28"/>
        </w:rPr>
        <w:t xml:space="preserve"> — иерархия подписей и пространство доверия (eIDAS / eIDAS 2.0);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Великобритания</w:t>
      </w:r>
      <w:r>
        <w:rPr>
          <w:rFonts w:ascii="Times New Roman" w:hAnsi="Times New Roman" w:eastAsia="Times New Roman"/>
          <w:b w:val="0"/>
          <w:sz w:val="28"/>
        </w:rPr>
        <w:t xml:space="preserve"> — доказательственная модель + goal-setting в ОТ;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США</w:t>
      </w:r>
      <w:r>
        <w:rPr>
          <w:rFonts w:ascii="Times New Roman" w:hAnsi="Times New Roman" w:eastAsia="Times New Roman"/>
          <w:b w:val="0"/>
          <w:sz w:val="28"/>
        </w:rPr>
        <w:t xml:space="preserve"> — технологическая нейтральность + electronic training records / OSHA;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Сингапур</w:t>
      </w:r>
      <w:r>
        <w:rPr>
          <w:rFonts w:ascii="Times New Roman" w:hAnsi="Times New Roman" w:eastAsia="Times New Roman"/>
          <w:b w:val="0"/>
          <w:sz w:val="28"/>
        </w:rPr>
        <w:t xml:space="preserve"> — торговый ЭДО и государственный реестр WSH-обучения;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Китай</w:t>
      </w:r>
      <w:r>
        <w:rPr>
          <w:rFonts w:ascii="Times New Roman" w:hAnsi="Times New Roman" w:eastAsia="Times New Roman"/>
          <w:b w:val="0"/>
          <w:sz w:val="28"/>
        </w:rPr>
        <w:t xml:space="preserve"> — «надёжная» ЭП и применение к safety docs;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Казахстан / ЕАЭС</w:t>
      </w:r>
      <w:r>
        <w:rPr>
          <w:rFonts w:ascii="Times New Roman" w:hAnsi="Times New Roman" w:eastAsia="Times New Roman"/>
          <w:b w:val="0"/>
          <w:sz w:val="28"/>
        </w:rPr>
        <w:t xml:space="preserve"> — ближайший интеграционный контур и прямая легализация электронного журнала инструктажа.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 рамками детального разбора оставлены узкоотраслевые режимы (таможенный ЭДО, счета-фактуры, электронные коносаменты) — они используются в главе 1 лишь как иллюстрация моделей. Медицинские допуски рассматриваются ограниченно из‑за режима персональных данных.</w:t>
      </w:r>
    </w:p>
    <w:p>
      <w:pPr>
        <w:pStyle w:val="Heading2"/>
      </w:pPr>
      <w:r>
        <w:t>§ 6. Научная новизна, теоретическая и практическая значимость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Новизна состоит в связке двух обычно разрозненных вопросов — общего ЭДО и ЭДО в охране труда — в единой сравнительно-правовой конструкции «модель → процесс ОТ → сравнение с РФ». Практическая значимость — в конкретных предложениях по уточнению ч. 3 ст. 22.1 ТК РФ и/или № 2464, стандарту реквизитов электронной записи ОТ и развитию проверки обучения до допуска.</w:t>
      </w:r>
    </w:p>
    <w:p>
      <w:pPr>
        <w:pStyle w:val="Heading2"/>
      </w:pPr>
      <w:r>
        <w:t>§ 7. Структура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Работа состоит из введения, трёх глав, заключения, списка источников и приложений. Глава 1 даёт общетеоретический раздел о регулировании ЭДО в иностранных государствах. Глава 2 — зарубежный опыт применения ЭДО в охране труда. Глава 3 — сравнение с российской практикой и предложения. Приложения содержат заполненные матрицы A/B/C и страновые карточки.</w:t>
      </w:r>
    </w:p>
    <w:p>
      <w:pPr>
        <w:pStyle w:val="Heading1"/>
      </w:pPr>
      <w:r>
        <w:t>ГЛАВА 1. ОБЩЕТЕОРЕТИЧЕСКИЕ ОСНОВЫ РЕГУЛИРОВАНИЯ ЭДО В ИНОСТРАННЫХ ГОСУДАРСТВАХ</w:t>
      </w:r>
    </w:p>
    <w:p>
      <w:pPr>
        <w:pStyle w:val="Heading2"/>
      </w:pPr>
      <w:r>
        <w:t>§ 1.1. Понятие электронного документооборота, электронного документа и электронной записи</w:t>
      </w:r>
    </w:p>
    <w:p>
      <w:pPr>
        <w:pStyle w:val="Heading3"/>
      </w:pPr>
      <w:r>
        <w:t>1.1.1. Электронный документ, electronic record и electronic message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российском управленческом языке «ЭДО» часто означает систему обмена формализованными документами через оператора. В зарубежном праве исходная единица обычно другая: *electronic record* (электронная запись), *electronic signature* (электронная подпись), *electronic message* (электронное сообщение), *trust service* (услуга доверия). Закон регулирует не отрасль «операторов ЭДО», а условия, при которых электронная форма не лишает документ юридической силы.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terminological расхождение важно методологически. Если искать за рубежом «закон об ЭДО», результат будет бедным. Если искать режим электронной записи и подписи — обнаруживается плотная сеть актов UNCITRAL, eIDAS, ESIGN, ETA и национальных законов об ЭЦП.</w:t>
      </w:r>
    </w:p>
    <w:p>
      <w:pPr>
        <w:pStyle w:val="Heading3"/>
      </w:pPr>
      <w:r>
        <w:t>1.1.2. Почему зарубежное право регулирует «подпись и запись», а не «оператора ЭДО»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Оператор обмена — технологический и рыночный институт. Право интересует другое: идентификация подписанта, выражение воли, целостность содержания, возможность впоследствии воспроизвести запись, допустимость в суде. Поэтому eIDAS говорит о простых, усиленных и квалифицированных подписях и о квалифицированных поставщиках услуг доверия; ESIGN — о согласии и сохраняемости; MLEC — о функциональной эквивалентности письму, оригиналу и подписи.</w:t>
      </w:r>
    </w:p>
    <w:p>
      <w:pPr>
        <w:pStyle w:val="Heading3"/>
      </w:pPr>
      <w:r>
        <w:t>1.1.3. Функциональная эквивалентность письменной форме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Ключевой принцип современной рамки: требование «письменности» считается выполненным, если электронная запись доступна для последующего использования и позволяет установить содержание. Требование «подписи» выполняется, если метод идентифицирует лицо и указывает на его намерение подписать запись. Именно этот подход позволяет переносить электронную форму в охрану труда без отдельного «закона о журнале»: если запись выполняет функции бумаги, форма может быть электронной — пока специальный акт прямо не требует иного.</w:t>
      </w:r>
    </w:p>
    <w:p>
      <w:pPr>
        <w:pStyle w:val="Heading2"/>
      </w:pPr>
      <w:r>
        <w:t>§ 1.2. Международная унификация правил электронной торговли и подписи (UNCITRAL)</w:t>
      </w:r>
    </w:p>
    <w:p>
      <w:pPr>
        <w:pStyle w:val="Heading3"/>
      </w:pPr>
      <w:r>
        <w:t>1.2.1. Типовой закон об электронной торговле (MLEC, 1996)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MLEC закрепил три опоры: недискриминацию электронной формы; технологическую нейтральность; функциональную эквивалентность. Государство не должно отвергать сообщение или договор только потому, что они электронные. Закон не предписывает конкретную криптографию. Письмо, оригинал и подпись описываются через функции, а не через бумагу.</w:t>
      </w:r>
    </w:p>
    <w:p>
      <w:pPr>
        <w:pStyle w:val="Heading3"/>
      </w:pPr>
      <w:r>
        <w:t>1.2.2. Типовой закон об электронных подписях (MLES, 2001)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MLES уточняет критерии надёжности подписи и роли подписанта, полагающейся стороны и доверенных третьих лиц. Для трансграничности важен принцип существенной эквивалентности: иностранная подпись может признаваться, если обеспечивает сопоставимый уровень надёжности.</w:t>
      </w:r>
    </w:p>
    <w:p>
      <w:pPr>
        <w:pStyle w:val="Heading3"/>
      </w:pPr>
      <w:r>
        <w:t>1.2.3. Конвенция Нью‑Йорк 2005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Конвенция об использовании электронных сообщений в международных договорах унифицирует правила для трансграничных электронных договоров и снимает формальные барьеры «бумажного» договора в международной торговле. Сингапур прямо ориентировал на неё свой Electronic Transactions Act.</w:t>
      </w:r>
    </w:p>
    <w:p>
      <w:pPr>
        <w:pStyle w:val="Heading3"/>
      </w:pPr>
      <w:r>
        <w:t>1.2.4. MLETR (2017) и статус к 2026 году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Типовой закон об электронных передаваемых записях закрывает пробел товарораспорядительных документов: электронных коносаментов, складских свидетельств и аналогов. К 2026 г. законодательство на базе или под влиянием MLETR принято в ряде юрисдикций, включая Сингапур (2021), Великобританию (ETDA 2023), Францию (2024) и Китай (2025, с развитием положений об электронных документах с 01.09.2026).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охраны труда MLETR важен не как прямой источник, а как показатель зрелости правовой системы: государства, способные легализовать электронный коносамент, обычно уже имеют и общую доктрину электронной записи, на которую опираются и safety records.</w:t>
      </w:r>
    </w:p>
    <w:p>
      <w:pPr>
        <w:pStyle w:val="Heading2"/>
      </w:pPr>
      <w:r>
        <w:t>§ 1.3. Две базовые модели национального регулирования ЭДО</w:t>
      </w:r>
    </w:p>
    <w:p>
      <w:pPr>
        <w:pStyle w:val="Heading3"/>
      </w:pPr>
      <w:r>
        <w:t>1.3.1. Модель иерархии подписей и квалифицированных услуг доверия (ЕС)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Регламент (EU) № 910/2014 (eIDAS) выстроил пространство доверия: простая (SES), усиленная (AES) и квалифицированная (QES) электронные подписи. QES имеет силу собственноручной подписи и взаимно признаётся во всех государствах‑членах. Рядом — электронные печати, метки времени, заказные электронные доставки, услуги валидации и хранения.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Регламент (EU) 2024/1183 (eIDAS 2.0) с 20.05.2024 усилил слой цифровой идентичности: государства‑члены должны предоставить EUDI Wallet к концу 2026 г.; отдельные частные relying parties обязаны принимать кошелёк по запросу пользователя не позднее 24.12.2027. Перечень квалифицированных услуг расширен (архивирование, электронные реестры, аттестация атрибутов). Уровни SES/AES/QES сохранены.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 для сравнения с РФ: российская триада ПЭП / УНЭП / УКЭП функционально близка европейской иерархии. Главное отличие — автоматическое взаимное признание внутри ЕС против точечного признания иностранных подписей в РФ.</w:t>
      </w:r>
    </w:p>
    <w:p>
      <w:pPr>
        <w:pStyle w:val="Heading3"/>
      </w:pPr>
      <w:r>
        <w:t>1.3.2. Модель технологической нейтральности и согласия сторон (США)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ESIGN Act и UETA исходят из другого тезиса: договор или запись не лишаются силы только потому, что использованы электронная подпись или электронная запись. Закон не требует квалифицированного сертификата. Достаточно электронной звуковой, символьной или процессной привязки, логически связанной с записью и сделанной с намерением подписать.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Сильный акцент — на согласии (особенно consumer consent) и на возможности впоследствии точно воспроизвести запись. Исключения foreseen для части семейных, завещательных и иных статутных актов. Инфраструктура доверия — рыночная, а не единая государственная система квалифицированных УЦ.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Вывод: США — наиболее далёкая от РФ философия. Перенос «американской нейтральности» в российский B2G разрушил бы опору на аккредитованные УЦ и защиту слабой стороны.</w:t>
      </w:r>
    </w:p>
    <w:p>
      <w:pPr>
        <w:pStyle w:val="Heading3"/>
      </w:pPr>
      <w:r>
        <w:t>1.3.3. Гибридные и переходные режимы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Сингапур</w:t>
      </w:r>
      <w:r>
        <w:rPr>
          <w:rFonts w:ascii="Times New Roman" w:hAnsi="Times New Roman" w:eastAsia="Times New Roman"/>
          <w:b w:val="0"/>
          <w:sz w:val="28"/>
        </w:rPr>
        <w:t xml:space="preserve"> сочетает нейтральность ETA с презумпциями *secure electronic signature* и режимом MLETR: это эталон «торгового» ЭДО.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Китай</w:t>
      </w:r>
      <w:r>
        <w:rPr>
          <w:rFonts w:ascii="Times New Roman" w:hAnsi="Times New Roman" w:eastAsia="Times New Roman"/>
          <w:b w:val="0"/>
          <w:sz w:val="28"/>
        </w:rPr>
        <w:t xml:space="preserve"> использует договорную основу плюс критерии «надёжной» подписи, лицензирование провайдеров сертификации, явный список исключений и с 2025–2026 гг. — отдельный слой электронных транспортных документов.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Великобритания</w:t>
      </w:r>
      <w:r>
        <w:rPr>
          <w:rFonts w:ascii="Times New Roman" w:hAnsi="Times New Roman" w:eastAsia="Times New Roman"/>
          <w:b w:val="0"/>
          <w:sz w:val="28"/>
        </w:rPr>
        <w:t xml:space="preserve"> после Brexit сохранила логику SES/AES/QES в UK-праве, но утратила автоматическое взаимное признание с ЕС. Параллельно приняты ETDA 2023 и статутный DVS Trust Framework 1.0 (не ранее 01.09.2026) — более «рыночная» рамка цифровой верификации, нежели обязательный государственный кошелёк.</w:t>
      </w:r>
    </w:p>
    <w:p>
      <w:pPr>
        <w:pStyle w:val="Heading3"/>
      </w:pPr>
      <w:r>
        <w:t>1.3.4. PKI-центричная модель и контур ЕАЭС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Закон Республики Казахстан от 07.01.2003 № 370 закрепляет электронный документ и ЭЦП в логике удостоверяющих центров. Трансграничный мост — доверенная третья сторона (ДТС). Решение Коллегии ЕЭК от 22.08.2023 № 120 устанавливает правила признания ЭП/ЭЦП при взаимодействии хозяйствующих субъектов с органами государств‑членов и ЕЭК с использованием ДТС (в силе с 23.09.2023).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Важно ограничение: Решение № 120 закрывает прежде всего B2G, а не весь частный B2B между компаниями разных стран Союза. Для РФ это ближайший интеграционный контур, а не универсальное взаимное признание «как в ЕС».</w:t>
      </w:r>
    </w:p>
    <w:p>
      <w:pPr>
        <w:pStyle w:val="Heading2"/>
      </w:pPr>
      <w:r>
        <w:t>§ 1.4. Инфраструктура доверия и цифровая идентичность</w:t>
      </w:r>
    </w:p>
    <w:p>
      <w:pPr>
        <w:pStyle w:val="Heading3"/>
      </w:pPr>
      <w:r>
        <w:t>1.4.1. Удостоверяющие центры, QTSP и рыночные провайдеры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модели ЕС доверие институционализировано через квалификацию и надзор QTSP, публичные trusted lists. В модели США доверие строится договором, репутацией провайдера и отраслевыми требованиями. В ЕАЭС/РК — через УЦ и ДТС. РФ ближе к первой и третьей схемам: аккредитованные УЦ, отраслевые операторы ЭДО, УЦ ФНС.</w:t>
      </w:r>
    </w:p>
    <w:p>
      <w:pPr>
        <w:pStyle w:val="Heading3"/>
      </w:pPr>
      <w:r>
        <w:t>1.4.2. Печать, метка времени, зарегистрированная доставка, архивирование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eIDAS делает видимыми инструменты, которые в российской практике часто «растворены» в договоре с оператором: квалифицированная метка времени, registered electronic delivery, квалифицированное электронное архивирование. Для споров о получении уведомления и о неизменности журнала ОТ эти институты важнее названия вида подписи.</w:t>
      </w:r>
    </w:p>
    <w:p>
      <w:pPr>
        <w:pStyle w:val="Heading3"/>
      </w:pPr>
      <w:r>
        <w:t>1.4.3. EUDI Wallet и британский DVS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Европейский кошелёк идентичности — обязательный инфраструктурный проект государств‑членов. Британский DVS Trust Framework — добровольная сертификация сервисов цифровой верификации. Для РФ полезен не сам «кошелёк», а идея отдельного контура подтверждения личности/атрибутов рядом с УЦ подписи, без немедленного обязательного внедрения.</w:t>
      </w:r>
    </w:p>
    <w:p>
      <w:pPr>
        <w:pStyle w:val="Heading2"/>
      </w:pPr>
      <w:r>
        <w:t>§ 1.5. Доказывание юридической силы электронной записи</w:t>
      </w:r>
    </w:p>
    <w:p>
      <w:pPr>
        <w:pStyle w:val="Heading3"/>
      </w:pPr>
      <w:r>
        <w:t>1.5.1. Согласие и воспроизводимость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в либеральной модели США согласие на электронную форму и способность впоследствии воспроизвести запись — центральные условия. В кадровом и охранительном контексте это означает: работник должен иметь доступ к своей записи; работодатель — хранить её в неизменном и предъявляемом виде.</w:t>
      </w:r>
    </w:p>
    <w:p>
      <w:pPr>
        <w:pStyle w:val="Heading3"/>
      </w:pPr>
      <w:r>
        <w:t>1.5.2. Целостность, audit trail и презумпции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Квалифицированная подпись (ЕС) и secure signature (Сингапур) создают разные по технике, но сходные по смыслу презумпции аутентичности и целостности. Для охраны труда практический минимум доказательств: кто совершил действие, когда, по какой программе/инструкции, каков результат проверки, неизменен ли лог.</w:t>
      </w:r>
    </w:p>
    <w:p>
      <w:pPr>
        <w:pStyle w:val="Heading3"/>
      </w:pPr>
      <w:r>
        <w:t>1.5.3. Исключения электронной формы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Китай прямо перечисляет семейные, наследственные и некоторые иные акты. США делают то же через ESIGN/UETA. ЕС не запрещает электронную форму журналов ОТ на уровне Союза. РФ использует иной приём: общее разрешение КЭДО плюс точечные исключения в ч. 3 ст. 22.1 ТК РФ, включая инструктажи по ОТ и акты НС.</w:t>
      </w:r>
    </w:p>
    <w:p>
      <w:pPr>
        <w:pStyle w:val="Heading2"/>
      </w:pPr>
      <w:r>
        <w:t>§ 1.6. Трансграничное признание электронных подписей и документов</w:t>
      </w:r>
    </w:p>
    <w:p>
      <w:pPr>
        <w:pStyle w:val="Heading3"/>
      </w:pPr>
      <w:r>
        <w:t>1.6.1. Автоматическое взаимное признание внутри ЕС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QES одного государства‑члена признаётся во всех остальных. Это самый сильный из существующих режимов трансграничности.</w:t>
      </w:r>
    </w:p>
    <w:p>
      <w:pPr>
        <w:pStyle w:val="Heading3"/>
      </w:pPr>
      <w:r>
        <w:t>1.6.2. Эквивалентность, взаимность и договор сторон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Вне интеграционных союзов признание строится через соглашение сторон, оценку эквивалентности или административное одобрение (китайская модель взаимности).</w:t>
      </w:r>
    </w:p>
    <w:p>
      <w:pPr>
        <w:pStyle w:val="Heading3"/>
      </w:pPr>
      <w:r>
        <w:t>1.6.3. ДТС в ЕАЭС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ДТС «переводит» доверие между национальными PKI. Для работодателя это означает: иностранная ЭЦП сама по себе может быть недостаточна; нужна инфраструктурная проверка. ФЗ от 04.08.2026 № 315‑ФЗ закрывает другой сюжет — УКЭП международных организаций внутри РФ через УЦ ФНС — и не заменяет ДТС для казахстанской или белорусской ЭЦП.</w:t>
      </w:r>
    </w:p>
    <w:p>
      <w:pPr>
        <w:pStyle w:val="Heading2"/>
      </w:pPr>
      <w:r>
        <w:t>§ 1.7. Промежуточные выводы главы 1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Мировой стандарт — недискриминация электронной формы.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Две крупные модели — иерархия подписей/услуги доверия (ЕС; близко РФ и ЕАЭС) и технологическая нейтральность (США; частично Сингапур).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«ЭДО как отрасль операторов» в иностранных законах обычно не назван; регулируются запись, подпись, идентичность, архив и трансграничность.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Правило перехода к охране труда: если специальный акт не требует бумажной собственноручной подписи и обеспечены идентификация, целостность и воспроизводимость, электронная фиксация процессов ОТ правомерно выводится из общей рамки ЭДО.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Именно поэтому глава 2 должна строиться по процессам ОТ, а не по пересказу eIDAS.</w:t>
      </w:r>
    </w:p>
    <w:p>
      <w:pPr>
        <w:pStyle w:val="Heading1"/>
      </w:pPr>
      <w:r>
        <w:t>ГЛАВА 2. ЗАРУБЕЖНЫЙ ОПЫТ ПРИМЕНЕНИЯ ЭДО В ОХРАНЕ ТРУДА</w:t>
      </w:r>
    </w:p>
    <w:p>
      <w:pPr>
        <w:pStyle w:val="Heading2"/>
      </w:pPr>
      <w:r>
        <w:t>§ 2.1. Предмет и границы «ЭДО в охране труда»</w:t>
      </w:r>
    </w:p>
    <w:p>
      <w:pPr>
        <w:pStyle w:val="Heading3"/>
      </w:pPr>
      <w:r>
        <w:t>2.1.1. Почему специального «закона об ЭДО в ОТ» почти нигде нет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Охрана труда требует доказать факт информирования, обучения, оценки риска, допуска, расследования. Право отвечает на это через обязанности по существу (обучить, оценить риск, расследовать) и через требования к записи. Формат записи — бумага или электронный файл — вторичен, пока сохраняются идентификация и возможность контроля. Поэтому зарубежные системы редко пишут: «журнал инструктажа может быть электронным». Чаще они молчаливо допускают электронную запись, а регулятор разъясняет приемлемость.</w:t>
      </w:r>
    </w:p>
    <w:p>
      <w:pPr>
        <w:pStyle w:val="Heading3"/>
      </w:pPr>
      <w:r>
        <w:t>2.1.2. Перечень процессов, где электронная запись юридически значима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инструктажи и обучение (журналы, протоколы, сертификаты, проверка знания);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оценка профессиональных рисков (risk assessment);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наряд-допуск / permit-to-work;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ознакомление с локальными нормативными актами по ОТ;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учёт травматизма и отчётность регулятору;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взаимодействие с инспекцией (предъявление записей по запросу).</w:t>
      </w:r>
    </w:p>
    <w:p>
      <w:pPr>
        <w:pStyle w:val="Heading3"/>
      </w:pPr>
      <w:r>
        <w:t>2.1.3. Соотношение общего ЭДО, трудового права и правил OSH/WSH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Схема всегда трёхслойная: (1) общий закон об ЭП/электронных записях даёт силу форме; (2) закон об ОТ/занятости задаёт обязанность по содержанию; (3) гайды инспекции объясняют, какая запись считается достаточной. Ошибка анализа — искать только слой (3) или только слой (1).</w:t>
      </w:r>
    </w:p>
    <w:p>
      <w:pPr>
        <w:pStyle w:val="Heading2"/>
      </w:pPr>
      <w:r>
        <w:t>§ 2.2. Инструктажи и обучение по охране труда в электронной форме</w:t>
      </w:r>
    </w:p>
    <w:p>
      <w:pPr>
        <w:pStyle w:val="Heading3"/>
      </w:pPr>
      <w:r>
        <w:t>2.2.1. Европейский союз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Рамочная Директива 89/391/EEC обязывает работодателя оценивать риски, информировать и обучать работников, вести документацию по мерам профилактики. Общесоюзной «бумажной формы журнала инструктажа» нет. Юридическая сила электронных подписей определяется eIDAS. На практике государства‑члены допускают цифровые OSH-системы (электронные risk assessment, LMS, электронные журналы ознакомления), если обеспечены идентификация, целостность и доступность для контроля. EU‑OSHA продвигает цифровые инструменты оценки рисков (OiRA): акцент на содержании и участии работников, а не на рукописной росписи.</w:t>
      </w:r>
    </w:p>
    <w:p>
      <w:pPr>
        <w:pStyle w:val="Heading3"/>
      </w:pPr>
      <w:r>
        <w:t>2.2.2. США: позиция OSHA по electronic training records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OSHA в разъяснениях 1997 и 2000 гг. прямо допустила электронный учёт обязательного safety training и использование electronic signature pad. Во многих стандартах ключевым доказательством является certification record работодателя/тренера, а не обязательная роспись каждого работника в «журнале» российского типа. Запись должна сохранять целостность и быть доступна на инспекции без задержки.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не означает отказ от обучения по существу. Это означает иной центр тяжести доказывания: сертификация факта обучения и сохранность данных важнее «мокрой» подписи в графе журнала.</w:t>
      </w:r>
    </w:p>
    <w:p>
      <w:pPr>
        <w:pStyle w:val="Heading3"/>
      </w:pPr>
      <w:r>
        <w:t>2.2.3. Сингапур: Training Records System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системе Workplace Safety and Health ключевой цифровой контур — Training Records System (TRS). Провайдеры загружают записи MOM‑recognised WSH training; работодатели через Corppass проверяют подлинность обучения работников онлайн, включая migrant workers. Это государственный/регуляторный реестр, а не только внутренний журнал работодателя. Для high‑risk секторов (строительство, shipyard, metalworking) проверка обучения становится условием допуска.</w:t>
      </w:r>
    </w:p>
    <w:p>
      <w:pPr>
        <w:pStyle w:val="Heading3"/>
      </w:pPr>
      <w:r>
        <w:t>2.2.4. Казахстан: прямая спецнорма об электронном журнале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Правила обучения, инструктирования и проверки знаний по безопасности и охране труда (приказ МЗСР РК № 1019 с изменениями) прямо допускают электронную форму. Журнал регистрации инструктажа на рабочем месте может вестись на бумаге или в электронном виде с учётом законодательства об электронном документе и ЭЦП; при электронном ведении сведения удостоверяются ЭЦП. Протокол проверки знаний также может быть электронным документом с ЭЦП членов комиссии.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ближайший к РФ постсоветский пример, где электронный журнал инструктажа легализован явно, а не выведен толкованием общего закона.</w:t>
      </w:r>
    </w:p>
    <w:p>
      <w:pPr>
        <w:pStyle w:val="Heading3"/>
      </w:pPr>
      <w:r>
        <w:t>2.2.5. Китай и Великобритания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КНР Work Safety Law требует обучения и документации по безопасности; сила электронных записей опирается на Закон об электронной подписи («надёжная» ЭП ≈ собственноручная/печать). Крупные предприятия используют electronic safety training и electronic work permits.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Великобритании HSE придерживается goal‑setting: важны suitable and sufficient risk assessment, информирование и компетентность, а не единый федеральный бумажный журнал. Электронные РА, LMS и e‑sign ознакомления — обычная практика; сила ЭП — через UK eIDAS / ECA 2000.</w:t>
      </w:r>
    </w:p>
    <w:p>
      <w:pPr>
        <w:pStyle w:val="Heading2"/>
      </w:pPr>
      <w:r>
        <w:t>§ 2.3. Оценка профессиональных рисков и электронные наряды-допуски</w:t>
      </w:r>
    </w:p>
    <w:p>
      <w:pPr>
        <w:pStyle w:val="Heading3"/>
      </w:pPr>
      <w:r>
        <w:t>2.3.1. Risk assessment как ядро документации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ЕС и UK оценка рисков — центральный документ системы ОТ. Management of Health and Safety at Work Regulations 1999 (reg. 3) требует suitable and sufficient assessment; при 5 и более работниках — запись существенных результатов. Формат записи закон жёстко не фетишизирует.</w:t>
      </w:r>
    </w:p>
    <w:p>
      <w:pPr>
        <w:pStyle w:val="Heading3"/>
      </w:pPr>
      <w:r>
        <w:t>2.3.2. Electronic permit-to-work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Индустриальная практика UK и ряда транснациональных компаний использует электронные наряды-допуски с маршрутизацией согласований, ЭП ответственных лиц и блокировкой допуска при отсутствии действующего обучения/медосмотра. Юридически это опирается на общую обязанность обеспечивать безопасную систему работы, а не на специальный «закон об e‑PTW».</w:t>
      </w:r>
    </w:p>
    <w:p>
      <w:pPr>
        <w:pStyle w:val="Heading3"/>
      </w:pPr>
      <w:r>
        <w:t>2.3.3. Цифровые шаблоны ОПР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Инструменты типа OiRA показывают, что государство может поддерживать качество оценки рисков через цифровые шаблоны, не сводя контроль к проверке наличия рукописной подписи.</w:t>
      </w:r>
    </w:p>
    <w:p>
      <w:pPr>
        <w:pStyle w:val="Heading2"/>
      </w:pPr>
      <w:r>
        <w:t>§ 2.4. Ознакомление работника с локальными актами и требованиями по ОТ</w:t>
      </w:r>
    </w:p>
    <w:p>
      <w:pPr>
        <w:pStyle w:val="Heading3"/>
      </w:pPr>
      <w:r>
        <w:t>2.4.1. Electronic acknowledgement vs собственноручная подпись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Электронное подтверждение ознакомления допустимо там, где закон не требует бумажной формы и где идентификация работника надёжна. В системах с eIDAS/ESIGN/ETA это обычно общий режим.</w:t>
      </w:r>
    </w:p>
    <w:p>
      <w:pPr>
        <w:pStyle w:val="Heading3"/>
      </w:pPr>
      <w:r>
        <w:t>2.4.2. Риск «клика вместо ознакомления»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Главный практический риск цифровизации — фиктивное ознакомление. Зарубежные зрелые системы отвечают не запретом электроники, а требованиями к идентификации, времени действия, содержанию инструкции и, при необходимости, проверке усвоения. Электронная форма должна усиливать доказываемость, а не упрощать формальность до клика.</w:t>
      </w:r>
    </w:p>
    <w:p>
      <w:pPr>
        <w:pStyle w:val="Heading2"/>
      </w:pPr>
      <w:r>
        <w:t>§ 2.5. Учёт травматизма, расследование НС и отчётность регулятору</w:t>
      </w:r>
    </w:p>
    <w:p>
      <w:pPr>
        <w:pStyle w:val="Heading3"/>
      </w:pPr>
      <w:r>
        <w:t>2.5.1. США: 29 CFR Part 1904 и Injury Tracking Application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OSHA требует вести учёт травм и заболеваний; многие работодатели ежегодно подают данные Forms 300/300A/301 через Injury Tracking Application. Электронная подпись допустима для сертификации Form 300‑A, но Annual Summary всё равно должен быть распечатан и вывешен на рабочем месте в установленные сроки. Это пример гибрида: digital reporting + физический posting.</w:t>
      </w:r>
    </w:p>
    <w:p>
      <w:pPr>
        <w:pStyle w:val="Heading3"/>
      </w:pPr>
      <w:r>
        <w:t>2.5.2. Великобритания: RIDDOR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Обязательные сообщения о некоторых травмах и опасных происшествиях подаются в электронном контуре HSE. Снова акцент на своевременности и полноте сведения, а не на бумажном бланке как самоцели.</w:t>
      </w:r>
    </w:p>
    <w:p>
      <w:pPr>
        <w:pStyle w:val="Heading3"/>
      </w:pPr>
      <w:r>
        <w:t>2.5.3. Электронный учёт ≠ отмена расследования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Критическое различение для любой правовой системы: машиночитаемая отчётность и журнал учёта не заменяют полноценного расследования несчастного случая. Цифровизация может обслуживать аналитику и профилактику, но процессуальный статус акта расследования требует отдельных гарантий.</w:t>
      </w:r>
    </w:p>
    <w:p>
      <w:pPr>
        <w:pStyle w:val="Heading2"/>
      </w:pPr>
      <w:r>
        <w:t>§ 2.6. Доказывание перед инспекцией и судом</w:t>
      </w:r>
    </w:p>
    <w:p>
      <w:pPr>
        <w:pStyle w:val="Heading3"/>
      </w:pPr>
      <w:r>
        <w:t>2.6.1. Sufficient / reliable electronic record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Сводный зарубежный стандарт достаточной электронной записи ОТ включает: идентификатор работника и инструктирующего/ответственного; дату и время; вид мероприятия и программу/инструкцию; результат проверки знания (если применимо); неизменяемость или защищённый audit trail; возможность предъявить запись инспектору без задержки.</w:t>
      </w:r>
    </w:p>
    <w:p>
      <w:pPr>
        <w:pStyle w:val="Heading3"/>
      </w:pPr>
      <w:r>
        <w:t>2.6.2. Audit trail, сроки хранения, доступность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OSHA и HSE ожидают, что электронный архив не хуже бумаги по доступности. Потеря логов, отсутствие резервного копирования, невозможность показать историю изменений — типичные основания обесценить электронную запись.</w:t>
      </w:r>
    </w:p>
    <w:p>
      <w:pPr>
        <w:pStyle w:val="Heading3"/>
      </w:pPr>
      <w:r>
        <w:t>2.6.3. Типичные дефекты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подпись «за другого» / общий логин;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отсутствие связи записи с конкретной программой инструктажа;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клик без идентификации;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ведение «электронно у себя» и печать бумаги с дорисованными подписями для инспектора;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утрата данных при смене подрядчика LMS.</w:t>
      </w:r>
    </w:p>
    <w:p>
      <w:pPr>
        <w:pStyle w:val="Heading2"/>
      </w:pPr>
      <w:r>
        <w:t>§ 2.7. Промежуточные выводы главы 2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Специального общемирового «закона об ЭДО в ОТ» нет; действует связка общего ЭДО и отраслевых обязанностей.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Электронная фиксация инструктажей/обучения прямо признана или фактически допущена в США, Казахстане, ЕС/UK; Сингапур добавил государственный сервис проверки.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Оценка рисков и permit-to-work цифровизируются через требование достаточности мер, а не через культ бумажного журнала.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Отчётность по травмам может быть digital-first, но расследование НС сохраняет отдельный процессуальный вес.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Для сравнения с РФ решающий контраст — не «есть ли компьютеры», а есть ли правовой запрет на электронное подтверждение инструктажа.</w:t>
      </w:r>
    </w:p>
    <w:p>
      <w:pPr>
        <w:pStyle w:val="Heading1"/>
      </w:pPr>
      <w:r>
        <w:t>ГЛАВА 3. СРАВНЕНИЕ ЗАРУБЕЖНОГО РЕГУЛИРОВАНИЯ И ОПЫТА С РОССИЙСКОЙ ПРАКТИКОЙ</w:t>
      </w:r>
    </w:p>
    <w:p>
      <w:pPr>
        <w:pStyle w:val="Heading2"/>
      </w:pPr>
      <w:r>
        <w:t>§ 3.1. Российская правовая рамка ЭДО как линия сравнения</w:t>
      </w:r>
    </w:p>
    <w:p>
      <w:pPr>
        <w:pStyle w:val="Heading3"/>
      </w:pPr>
      <w:r>
        <w:t>3.1.1. ФЗ № 63‑ФЗ: ПЭП, УНЭП, УКЭП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Федеральный закон от 06.04.2011 № 63‑ФЗ задаёт иерархию электронных подписей, близкую eIDAS. УКЭП при соблюдении условий закона признаётся равнозначной собственноручной. Инфраструктура — аккредитованные удостоверяющие центры.</w:t>
      </w:r>
    </w:p>
    <w:p>
      <w:pPr>
        <w:pStyle w:val="Heading3"/>
      </w:pPr>
      <w:r>
        <w:t>3.1.2. Кадровый ЭДО: ст. 22.1–22.3 ТК РФ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ТК РФ создал специальный режим кадрового электронного документооборота: согласие работника, правила применения видов ЭП, взаимодействие сторон. Это более детальная «кадровая оболочка», чем в большинстве зарубежных систем, где кадровые документы часто покрываются общим режимом ЭП плюс согласием.</w:t>
      </w:r>
    </w:p>
    <w:p>
      <w:pPr>
        <w:pStyle w:val="Heading3"/>
      </w:pPr>
      <w:r>
        <w:t>3.1.3. Обучение по охране труда: ПП РФ № 2464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Правила обучения по охране труда детализируют виды обучения и инструктажей, программы, протоколы проверки знания, реестры обученных. Часть процессов цифровизируется, включая взаимодействие с государственным контуром. Однако фиксация прохождения инструктажей на местах остаётся связанной с бумажной логикой из‑за исключения в ТК РФ.</w:t>
      </w:r>
    </w:p>
    <w:p>
      <w:pPr>
        <w:pStyle w:val="Heading3"/>
      </w:pPr>
      <w:r>
        <w:t>3.1.4. Трансграничность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Статья 7 63‑ФЗ регулирует признание иностранных электронных подписей. В ЕАЭС действует Решение № 120 о ДТС. ФЗ от 04.08.2026 № 315‑ФЗ устанавливает правила УКЭП для международных организаций и их филиалов/представительств в РФ (сертификат выдаёт УЦ ФНС). Эти нормы усиливают внутренний и интеграционный контуры, но не создают автоматического взаимного признания «как в ЕС».</w:t>
      </w:r>
    </w:p>
    <w:p>
      <w:pPr>
        <w:pStyle w:val="Heading2"/>
      </w:pPr>
      <w:r>
        <w:t>§ 3.2. Точки сходства российской и зарубежной моделей</w:t>
      </w:r>
    </w:p>
    <w:p>
      <w:pPr>
        <w:pStyle w:val="Heading3"/>
      </w:pPr>
      <w:r>
        <w:t>3.2.1. Недискриминация электронной формы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 РФ, и рассмотренные юрисдикции исходят из того, что электронный документ не отвергается только из‑за электронной формы — при соблюдении условий закона.</w:t>
      </w:r>
    </w:p>
    <w:p>
      <w:pPr>
        <w:pStyle w:val="Heading3"/>
      </w:pPr>
      <w:r>
        <w:t>3.2.2. Близость иерархии подписи РФ к модели ЕС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ПЭП/УНЭП/УКЭП функционально сопоставимы с SES/AES/QES. По этому параметру РФ ближе к ЕС, чем к США.</w:t>
      </w:r>
    </w:p>
    <w:p>
      <w:pPr>
        <w:pStyle w:val="Heading3"/>
      </w:pPr>
      <w:r>
        <w:t>3.2.3. Наличие аккредитованной инфраструктуры доверия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Российские аккредитованные УЦ и европейские QTSP — институты одного семейства. США здесь — исключение.</w:t>
      </w:r>
    </w:p>
    <w:p>
      <w:pPr>
        <w:pStyle w:val="Heading2"/>
      </w:pPr>
      <w:r>
        <w:t>§ 3.3. Ключевые расхождения</w:t>
      </w:r>
    </w:p>
    <w:p>
      <w:pPr>
        <w:pStyle w:val="Heading3"/>
      </w:pPr>
      <w:r>
        <w:t>3.3.1. Исключение инструктажей по ОТ и актов НС из КЭДО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Центральный сравнительно-правовой факт: ч. 3 ст. 22.1 ТК РФ прямо исключает из кадрового ЭДО документы, подтверждающие прохождение инструктажей по охране труда (в том числе лично подписываемые работником), а также акты о несчастном случае на производстве.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ядре выбранных юрисдикций аналогичного общесистемного запрета нет. США прямо допускают electronic training records; Казахстан прямо разрешает электронный журнал инструктажа с ЭЦП; ЕС и UK допускают электронную фиксацию через общий режим и требование достаточности записи. РФ, продвинувшись в общем КЭДО и в № 2464, сохранила бумажный «замок» именно на ключевых доказательствах ОТ.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следствие: работодатель может цифровизировать приказы, инструкции и часть ознакомления с ЛНА, но подтверждение инструктажа остаётся в зоне высокого риска претензий ГИТ при попытке заменить личную подпись «чистым» КЭДО.</w:t>
      </w:r>
    </w:p>
    <w:p>
      <w:pPr>
        <w:pStyle w:val="Heading3"/>
      </w:pPr>
      <w:r>
        <w:t>3.3.2. Формализм журнала vs содержательная достаточность записи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Российский контроль традиционно чувствителен к наличию журнала установленной структуры и собственноручной подписи. UK и частично США смещают акцент на sufficient/reliable record и certification. Оба подхода легитимны, но цифровая трансформация лучше стыкуется со вторым — при условии жёстких реквизитов записи и audit trail.</w:t>
      </w:r>
    </w:p>
    <w:p>
      <w:pPr>
        <w:pStyle w:val="Heading3"/>
      </w:pPr>
      <w:r>
        <w:t>3.3.3. Отсутствие прямого аналога сервиса проверки обучения (TRS)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РФ есть элементы реестров обученных по № 2464, но нет столь же удобного для работодателя сервиса проверки статуса обучения подрядчика «здесь и сейчас», как Singapore TRS. Для работ повышенной опасности это заметный пробел практики.</w:t>
      </w:r>
    </w:p>
    <w:p>
      <w:pPr>
        <w:pStyle w:val="Heading3"/>
      </w:pPr>
      <w:r>
        <w:t>3.3.4. Трансграничное признание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 даёт автоматизм внутри Союза. РФ и ЕАЭС идут через ДТС и точечные нормы 63‑ФЗ/315‑ФЗ. Это не недостаток само по себе, но требует доведения квитанций ДТС до понятного судебного доказательства и развития B2B-сценариев, а не только B2G.</w:t>
      </w:r>
    </w:p>
    <w:p>
      <w:pPr>
        <w:pStyle w:val="Heading2"/>
      </w:pPr>
      <w:r>
        <w:t>§ 3.4. Что из зарубежного опыта целесообразно заимствовать</w:t>
      </w:r>
    </w:p>
    <w:p>
      <w:pPr>
        <w:pStyle w:val="Heading3"/>
      </w:pPr>
      <w:r>
        <w:t>3.4.1. Электронный журнал инструктажа с ЭП (модель Казахстана)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Наиболее релевантный образец для РФ — прямая легализация электронного журнала с удостоверением ЭП инструктирующего и инструктируемого, при сохранении того же содержания инструктажа. Это не ломка системы видов инструктажей № 2464, а смена носителя и способа подписи.</w:t>
      </w:r>
    </w:p>
    <w:p>
      <w:pPr>
        <w:pStyle w:val="Heading3"/>
      </w:pPr>
      <w:r>
        <w:t>3.4.2. Стандарт реквизитов и audit trail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Зафиксировать минимальные реквизиты электронной записи ОТ: кто, когда, вид мероприятия, программа/инструкция, результат проверки, идентификатор средства подписи, неизменность/лог изменений. Без этого цифровизация породит серую зону.</w:t>
      </w:r>
    </w:p>
    <w:p>
      <w:pPr>
        <w:pStyle w:val="Heading3"/>
      </w:pPr>
      <w:r>
        <w:t>3.4.3. Сервис проверки обучения до допуска (мотив Сингапура)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Развивать проверяемый электронный статус обучения для подрядчиков и работ повышенной опасности: работодатель и инспектор видят актуальный результат, поддельные протоколы обесцениваются.</w:t>
      </w:r>
    </w:p>
    <w:p>
      <w:pPr>
        <w:pStyle w:val="Heading3"/>
      </w:pPr>
      <w:r>
        <w:t>3.4.4. Электронные наряды-допуски и шаблоны ОПР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E‑PTW с блокировками допуска и типовые электронные шаблоны оценки профрисков повышают содержательное качество ОТ, не конфликтуя с российской моделью видов работ повышенной опасности.</w:t>
      </w:r>
    </w:p>
    <w:p>
      <w:pPr>
        <w:pStyle w:val="Heading3"/>
      </w:pPr>
      <w:r>
        <w:t>3.4.5. Квалифицированный архив, метка времени, registered delivery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Институты eIDAS 2.0 усиливают судебную доказываемость целостности и факта получения. Для журналов ОТ и уведомлений работников это практичнее, чем спор о «названии» подписи.</w:t>
      </w:r>
    </w:p>
    <w:p>
      <w:pPr>
        <w:pStyle w:val="Heading2"/>
      </w:pPr>
      <w:r>
        <w:t>§ 3.5. Что не следует механически переносить</w:t>
      </w:r>
    </w:p>
    <w:p>
      <w:pPr>
        <w:pStyle w:val="Heading3"/>
      </w:pPr>
      <w:r>
        <w:t>3.5.1. Отказ от иерархии ПЭП/УНЭП/УКЭП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Американская абсолютная нейтральность разрушит B2G и предсказуемость для слабой стороны.</w:t>
      </w:r>
    </w:p>
    <w:p>
      <w:pPr>
        <w:pStyle w:val="Heading3"/>
      </w:pPr>
      <w:r>
        <w:t>3.5.2. Полный отказ от подтверждения работника на инструктаже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OSHA в ряде стандартов делает акцент на certification работодателя, в российской судебной и дисциплинарной практике волеизъявление работника остаётся критичным. Электронная форма должна сохранять подтверждение обеих сторон записи.</w:t>
      </w:r>
    </w:p>
    <w:p>
      <w:pPr>
        <w:pStyle w:val="Heading3"/>
      </w:pPr>
      <w:r>
        <w:t>3.5.3. Обязательный кошелёк идентичности до готовности инфраструктуры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EUDI Wallet — долгосрочный европейский проект со своими сроками. Для РФ разумнее пилоты и добровольные сервисы верификации, а не немедленная обязанность.</w:t>
      </w:r>
    </w:p>
    <w:p>
      <w:pPr>
        <w:pStyle w:val="Heading3"/>
      </w:pPr>
      <w:r>
        <w:t>3.5.4. Перенос MLETR в кадровый/охранительный оборот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Режим электронных передаваемых документов предназначен для товарораспорядительных инструментов, не для журналов инструктажа.</w:t>
      </w:r>
    </w:p>
    <w:p>
      <w:pPr>
        <w:pStyle w:val="Heading2"/>
      </w:pPr>
      <w:r>
        <w:t>§ 3.6. Предложения de lege lata и de lege ferenda</w:t>
      </w:r>
    </w:p>
    <w:p>
      <w:pPr>
        <w:pStyle w:val="Heading3"/>
      </w:pPr>
      <w:r>
        <w:t>3.6.1. Что можно сделать без изменения ТК РФ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расширять КЭДО для документов ОТ вне исключений ч. 3 ст. 22.1 (приказы, инструкции, ознакомление с ЛНА);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усиливать протоколы проверки знания и реестры по № 2464 в электронном контуре;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внедрять ЛНА о реквизитах электронных записей ОТ и audit trail;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использовать УНЭП/УКЭП для внутренних процессов, не заменяя ими запрещённое «чистое» электронное подтверждение инструктажа до изменения закона.</w:t>
      </w:r>
    </w:p>
    <w:p>
      <w:pPr>
        <w:pStyle w:val="Heading3"/>
      </w:pPr>
      <w:r>
        <w:t>3.6.2. Какие правки нужны для электронного журнала инструктажа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De lege ferenda целесообразно: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1) уточнить ч. 3 ст. 22.1 ТК РФ так, чтобы исключение не блокировало электронный журнал инструктажа при использовании ЭП работника и представителя работодателя и соблюдении требований к неизменности записи;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либо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2) прямо разрешить в № 2464 электронную форму журналов инструктажей и протоколов с указанием допустимых видов ЭП и обязательных реквизитов;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3) сохранить исключение/особый режим для актов НС либо цифровизировать их отдельным процессуально защищённым контуром, не смешивая с «лёгким» КЭДО.</w:t>
      </w:r>
    </w:p>
    <w:p>
      <w:pPr>
        <w:pStyle w:val="Heading3"/>
      </w:pPr>
      <w:r>
        <w:t>3.6.3. Направления развития ДТС ЕАЭС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практики работодателя полезны: понятный формат квитанции проверки ДТС как судебного доказательства; расширение сценариев B2B; взаимное признание электронных записей обучения/инструктажей при трансграничных работах в Союзе — по мере готовности национальных режимов.</w:t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Проведённый анализ позволяет сформулировать следующие выводы.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Первое.</w:t>
      </w:r>
      <w:r>
        <w:rPr>
          <w:rFonts w:ascii="Times New Roman" w:hAnsi="Times New Roman" w:eastAsia="Times New Roman"/>
          <w:b w:val="0"/>
          <w:sz w:val="28"/>
        </w:rPr>
        <w:t xml:space="preserve"> Регулирование ЭДО в иностранных государствах строится вокруг юридической силы электронной записи и подписи, услуг доверия и трансграничного признания. Две базовые модели — европейская иерархия подписей с квалифицированными услугами доверия и американская технологическая нейтральность. Российская система ближе к европейской.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Второе.</w:t>
      </w:r>
      <w:r>
        <w:rPr>
          <w:rFonts w:ascii="Times New Roman" w:hAnsi="Times New Roman" w:eastAsia="Times New Roman"/>
          <w:b w:val="0"/>
          <w:sz w:val="28"/>
        </w:rPr>
        <w:t xml:space="preserve"> Зарубежный опыт применения ЭДО в охране труда почти нигде не оформлен отдельным «законом об ЭДО в ОТ». Электронные записи инструктажей, обучения, оценки рисков и отчётности выводятся из общей рамки ЭДО и обязанностей работодателя по OSH/WSH. Прямые образцы — electronic training records OSHA, Training Records System Сингапура и электронный журнал инструктажа Казахстана.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Третье.</w:t>
      </w:r>
      <w:r>
        <w:rPr>
          <w:rFonts w:ascii="Times New Roman" w:hAnsi="Times New Roman" w:eastAsia="Times New Roman"/>
          <w:b w:val="0"/>
          <w:sz w:val="28"/>
        </w:rPr>
        <w:t xml:space="preserve"> Ключевое расхождение с российской практикой — ч. 3 ст. 22.1 ТК РФ, исключающая из КЭДО подтверждение инструктажей по охране труда и акты о несчастном случае. На фоне зарубежного тренда это делает российский режим более формалистичным именно там, где цифровизация могла бы усилить прослеживаемость допуска к работам.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Четвёртое.</w:t>
      </w:r>
      <w:r>
        <w:rPr>
          <w:rFonts w:ascii="Times New Roman" w:hAnsi="Times New Roman" w:eastAsia="Times New Roman"/>
          <w:b w:val="0"/>
          <w:sz w:val="28"/>
        </w:rPr>
        <w:t xml:space="preserve"> Целесообразные заимствования: легализация электронного журнала инструктажа по модели Казахстана; стандарт реквизитов и audit trail; сервис проверки обучения до допуска; e‑наряды‑допуски и шаблоны ОПР; институты квалифицированного архива и метки времени. Нецелесообразны: отказ от иерархии подписей, устранение подтверждения работника, немедленный обязательный кошелёк идентичности, перенос MLETR в охрану труда.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Пятое.</w:t>
      </w:r>
      <w:r>
        <w:rPr>
          <w:rFonts w:ascii="Times New Roman" w:hAnsi="Times New Roman" w:eastAsia="Times New Roman"/>
          <w:b w:val="0"/>
          <w:sz w:val="28"/>
        </w:rPr>
        <w:t xml:space="preserve"> Практический вектор для РФ — не «отменить бумагу любой ценой», а заменить бумажный формализм доказываемой электронной записью, сохранив содержание инструктажа, обучение по № 2464 и процессуальные гарантии расследования несчастных случаев.</w:t>
      </w:r>
    </w:p>
    <w:p>
      <w:pPr>
        <w:pStyle w:val="Heading1"/>
      </w:pPr>
      <w:r>
        <w:t>СПИСОК ИСПОЛЬЗОВАННЫХ ИСТОЧНИКОВ (ОСНОВНЫЕ)</w:t>
      </w:r>
    </w:p>
    <w:p>
      <w:pPr>
        <w:pStyle w:val="Heading3"/>
      </w:pPr>
      <w:r>
        <w:t>Международные акты и документы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UNCITRAL Model Law on Electronic Commerce (1996). https://uncitral.un.org/en/texts/ecommerce/modellaw/electronic_commerce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UNCITRAL Model Law on Electronic Signatures (2001). https://uncitral.un.org/en/texts/ecommerce/modellaw/electronic_signatures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United Nations Convention on the Use of Electronic Communications in International Contracts (2005). https://uncitral.un.org/en/texts/ecommerce/conventions/electronic_communications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UNCITRAL Model Law on Electronic Transferable Records (2017) and Status. https://uncitral.un.org/en/texts/ecommerce/modellaw/electronic_transferable_records/status</w:t>
      </w:r>
    </w:p>
    <w:p>
      <w:pPr>
        <w:pStyle w:val="Heading3"/>
      </w:pPr>
      <w:r>
        <w:t>Европейский союз и Великобритания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Regulation (EU) No 910/2014 (eIDAS). https://eur-lex.europa.eu/legal-content/EN/TXT/?uri=CELEX:32014R0910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Regulation (EU) 2024/1183 (eIDAS 2.0). https://eur-lex.europa.eu/legal-content/EN/TXT/?uri=CELEX:32024R1183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Directive 89/391/EEC (OSH Framework Directive). https://eur-lex.europa.eu/legal-content/EN/TXT/?uri=CELEX:01989L0391-20081211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Electronic Communications Act 2000, s.7. https://www.legislation.gov.uk/ukpga/2000/7/section/7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Electronic Trade Documents Act 2023. https://www.legislation.gov.uk/ukpga/2023/38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Management of Health and Safety at Work Regulations 1999, reg. 3. https://www.legislation.gov.uk/uksi/1999/3242/regulation/3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UK DVS trust framework 1.0. https://www.gov.uk/government/publications/uk-digital-verification-services-trust-framework-1-0</w:t>
      </w:r>
    </w:p>
    <w:p>
      <w:pPr>
        <w:pStyle w:val="Heading3"/>
      </w:pPr>
      <w:r>
        <w:t>США, Сингапур, Китай, Казахстан / ЕАЭС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ESIGN Act, 15 U.S.C. Chapter 96. https://www.law.cornell.edu/uscode/text/15/chapter-96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OSHA LOI 14.08.1997 — electronic training records. https://www.osha.gov/laws-regs/standardinterpretations/1997-08-14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29 CFR Part 1904. https://www.osha.gov/laws-regs/regulations/standardnumber/1904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Singapore Electronic Transactions Act 2010. https://sso.agc.gov.sg/Act/ETA2010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MOM — Check WSH training records (TRS). https://www.mom.gov.sg/eservices/services/check-worker-training-records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Electronic Signature Law of the PRC (WIPO Lex). https://www.wipo.int/wipolex/en/legislation/details/6563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Закон РК от 07.01.2003 № 370. https://adilet.zan.kz/rus/docs/Z030000370_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Правила обучения/инструктирования ОТ РК (приказ № 1019; обзор/текст). https://zakon.mybuh.kz/rus/docs/v1500012665/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Решение Коллегии ЕЭК от 22.08.2023 № 120. https://docs.eaeunion.org/documents/414/7596/</w:t>
      </w:r>
    </w:p>
    <w:p>
      <w:pPr>
        <w:pStyle w:val="Heading3"/>
      </w:pPr>
      <w:r>
        <w:t>Российская Федерация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Федеральный закон от 06.04.2011 № 63‑ФЗ «Об электронной подписи». https://www.consultant.ru/document/cons_doc_LAW_112701/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Трудовой кодекс РФ, ст. 22.1–22.3. https://www.consultant.ru/document/cons_doc_LAW_34683/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Постановление Правительства РФ от 24.12.2021 № 2464. https://www.consultant.ru/document/cons_doc_LAW_405416/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Федеральный закон от 04.08.2026 № 315‑ФЗ (изменения в закон об электронной подписи). http://kremlin.ru/acts/news/80444</w:t>
      </w:r>
    </w:p>
    <w:p>
      <w:pPr>
        <w:pStyle w:val="Heading1"/>
      </w:pPr>
      <w:r>
        <w:t>ПРИЛОЖЕНИЯ (перечень)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Приложение 1. Матрица A — ЭДО в целом (`Матрица_НИР_ЭДО_заполненная.xlsx`, лист A).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Приложение 2. Матрица B — ЭДО в охране труда (лист B).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Приложение 3. Матрица C — сравнение с РФ (лист C).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Приложение 4. Страновые карточки ЭДО в целом (`edo_by_country/`).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Приложение 5. Страновые карточки ЭДО в ОТ (`edo_ot_by_country/` на ветке анализа ОТ / архив).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sz w:val="28"/>
        </w:rPr>
        <w:t>Приложение 6. Оглавление с аннотациями параграфов (`Оглавление_НИР_ЭДО_с_параграфами.docx`).</w:t>
      </w:r>
    </w:p>
    <w:p>
      <w:r>
        <w:rPr>
          <w:rFonts w:ascii="Times New Roman" w:hAnsi="Times New Roman"/>
          <w:i/>
          <w:sz w:val="24"/>
        </w:rPr>
        <w:t>Черновик подготовлен как рабочий текст НИР. Перед защитой/сдачей сверить актуальные редакции иностранных актов по официальным публикациям и оформить ссылки по ГОСТ Р 7.0.5.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