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1201c534e942c4" /><Relationship Type="http://schemas.openxmlformats.org/package/2006/relationships/metadata/core-properties" Target="/docProps/core.xml" Id="R1ed680d07c754b4a" /><Relationship Type="http://schemas.openxmlformats.org/officeDocument/2006/relationships/extended-properties" Target="/docProps/app.xml" Id="R486adf455a214774" /><Relationship Type="http://schemas.openxmlformats.org/officeDocument/2006/relationships/custom-properties" Target="/docProps/custom.xml" Id="Ra3435314c91b413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480"/>
        <w:jc w:val="center"/>
      </w:pPr>
      <w:r>
        <w:rPr>
          <w:color w:val="C00000"/>
          <w:sz w:val="20"/>
        </w:rPr>
        <w:t xml:space="preserve">CONFIDENTIAL — 内部配置文档</w:t>
      </w:r>
    </w:p>
    <w:p w14:paraId="00100002" w14:textId="00100003">
      <w:pPr>
        <w:pStyle w:val="Title"/>
        <w:spacing w:after="160"/>
        <w:jc w:val="center"/>
      </w:pPr>
      <w:r>
        <w:rPr>
          <w:b/>
          <w:sz w:val="56"/>
        </w:rPr>
        <w:t xml:space="preserve">花间支付（HuaJian_Pay）</w:t>
      </w:r>
    </w:p>
    <w:p w14:paraId="00100004" w14:textId="00100005">
      <w:pPr>
        <w:spacing w:after="400"/>
        <w:jc w:val="center"/>
      </w:pPr>
      <w:r>
        <w:rPr>
          <w:sz w:val="36"/>
        </w:rPr>
        <w:t xml:space="preserve">支付宝通道完整配置教程（RSA2）</w:t>
      </w:r>
    </w:p>
    <w:p w14:paraId="00100006" w14:textId="00100007">
      <w:pPr>
        <w:spacing w:after="240"/>
        <w:jc w:val="center"/>
      </w:pPr>
      <w:r>
        <w:rPr>
          <w:i/>
          <w:sz w:val="22"/>
        </w:rPr>
        <w:t xml:space="preserve">对照当前代码 · Admin 配置页 · 环境变量 · v0.6.0+</w:t>
      </w:r>
    </w:p>
    <w:p w14:paraId="00100008" w14:textId="00100009">
      <w:pPr>
        <w:spacing w:after="480"/>
        <w:jc w:val="center"/>
      </w:pPr>
      <w:r>
        <w:rPr>
          <w:sz w:val="22"/>
        </w:rPr>
        <w:t xml:space="preserve">官方当面付/扫码 RSA2 接入 · 禁止个人收款码方案表述</w:t>
      </w:r>
    </w:p>
    <w:p w14:paraId="0010000A" w14:textId="001000BA">
      <w:pPr>
        <w:spacing w:after="160"/>
        <w:jc w:val="center"/>
      </w:pPr>
      <w:r>
        <w:rPr>
          <w:sz w:val="20"/>
        </w:rPr>
        <w:t xml:space="preserve">文档目录：docs/guides/ · 图片：docs/assets/alipay-channel/</w:t>
      </w:r>
    </w:p>
    <w:p w14:paraId="0010000C" w14:textId="001000BB">
      <w:pPr>
        <w:spacing w:after="720"/>
        <w:jc w:val="center"/>
      </w:pPr>
      <w:r>
        <w:rPr>
          <w:sz w:val="20"/>
        </w:rPr>
        <w:t xml:space="preserve">修订日期：2026-07-25 · 角色：FileManager</w:t>
      </w:r>
    </w:p>
    <w:p w14:paraId="00100010" w14:textId="00100012">
      <w:pPr>
        <w:pStyle w:val="Heading1"/>
        <w:pageBreakBefore/>
        <w:spacing w:after="240"/>
      </w:pPr>
      <w:r>
        <w:rPr>
          <w:b/>
          <w:sz w:val="40"/>
        </w:rPr>
        <w:t xml:space="preserve">目录</w:t>
      </w:r>
    </w:p>
    <w:p w14:paraId="001000BC" w14:textId="001000D2">
      <w:pPr>
        <w:spacing w:after="80"/>
      </w:pPr>
      <w:r>
        <w:rPr>
          <w:sz w:val="22"/>
        </w:rPr>
        <w:t xml:space="preserve">1. 产品边界与适用场景</w:t>
      </w:r>
    </w:p>
    <w:p w14:paraId="001000D3" w14:textId="001000D4">
      <w:pPr>
        <w:spacing w:after="80"/>
      </w:pPr>
      <w:r>
        <w:rPr>
          <w:sz w:val="22"/>
        </w:rPr>
        <w:t xml:space="preserve">2. 架构与主数据流</w:t>
      </w:r>
    </w:p>
    <w:p w14:paraId="001000D5" w14:textId="001000D6">
      <w:pPr>
        <w:spacing w:after="80"/>
      </w:pPr>
      <w:r>
        <w:rPr>
          <w:sz w:val="22"/>
        </w:rPr>
        <w:t xml:space="preserve">3. 字段映射：开放平台、环境变量与 Admin</w:t>
      </w:r>
    </w:p>
    <w:p w14:paraId="001000D7" w14:textId="001000D8">
      <w:pPr>
        <w:spacing w:after="80"/>
      </w:pPr>
      <w:r>
        <w:rPr>
          <w:sz w:val="22"/>
        </w:rPr>
        <w:t xml:space="preserve">4. 开放平台准备与 RSA2 密钥</w:t>
      </w:r>
    </w:p>
    <w:p w14:paraId="001000D9" w14:textId="001000DA">
      <w:pPr>
        <w:spacing w:after="80"/>
      </w:pPr>
      <w:r>
        <w:rPr>
          <w:sz w:val="22"/>
        </w:rPr>
        <w:t xml:space="preserve">5. 在 HuaJian_Pay 中配置</w:t>
      </w:r>
    </w:p>
    <w:p w14:paraId="001000DB" w14:textId="001000DC">
      <w:pPr>
        <w:spacing w:after="80"/>
      </w:pPr>
      <w:r>
        <w:rPr>
          <w:sz w:val="22"/>
        </w:rPr>
        <w:t xml:space="preserve">6. newapi 接入</w:t>
      </w:r>
    </w:p>
    <w:p w14:paraId="001000DD" w14:textId="001000DE">
      <w:pPr>
        <w:spacing w:after="80"/>
      </w:pPr>
      <w:r>
        <w:rPr>
          <w:sz w:val="22"/>
        </w:rPr>
        <w:t xml:space="preserve">7. Mock 与真实小额验收</w:t>
      </w:r>
    </w:p>
    <w:p w14:paraId="001000DF" w14:textId="001000E0">
      <w:pPr>
        <w:spacing w:after="80"/>
      </w:pPr>
      <w:r>
        <w:rPr>
          <w:sz w:val="22"/>
        </w:rPr>
        <w:t xml:space="preserve">8. 回调、HTTPS 与防火墙</w:t>
      </w:r>
    </w:p>
    <w:p w14:paraId="001000E1" w14:textId="001000E2">
      <w:pPr>
        <w:spacing w:after="80"/>
      </w:pPr>
      <w:r>
        <w:rPr>
          <w:sz w:val="22"/>
        </w:rPr>
        <w:t xml:space="preserve">9. 常见错误排查</w:t>
      </w:r>
    </w:p>
    <w:p w14:paraId="001000E3" w14:textId="001000E4">
      <w:pPr>
        <w:spacing w:after="80"/>
      </w:pPr>
      <w:r>
        <w:rPr>
          <w:sz w:val="22"/>
        </w:rPr>
        <w:t xml:space="preserve">10. 密钥轮换与安全</w:t>
      </w:r>
    </w:p>
    <w:p w14:paraId="001000E5" w14:textId="001000E6">
      <w:pPr>
        <w:spacing w:after="80"/>
      </w:pPr>
      <w:r>
        <w:rPr>
          <w:sz w:val="22"/>
        </w:rPr>
        <w:t xml:space="preserve">11. 图片与文件清单</w:t>
      </w:r>
    </w:p>
    <w:p w14:paraId="00100015" w14:textId="00100017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1. 产品边界与适用场景</w:t>
      </w:r>
    </w:p>
    <w:p w14:paraId="00100018" w14:textId="00100019">
      <w:pPr>
        <w:spacing w:after="160"/>
      </w:pPr>
      <w:r>
        <w:rPr>
          <w:sz w:val="22"/>
        </w:rPr>
        <w:t xml:space="preserve">本教程说明如何将支付宝开放平台官方 RSA2 通道接入 HuaJian_Pay，供 newapi 与类易支付商户收款。</w:t>
      </w:r>
    </w:p>
    <w:p w14:paraId="0010001A" w14:textId="0010001B">
      <w:pPr>
        <w:spacing w:after="200"/>
      </w:pPr>
      <w:r>
        <w:rPr>
          <w:color w:val="047857"/>
          <w:sz w:val="22"/>
        </w:rPr>
        <w:t xml:space="preserve">提示：支持：正式应用 APPID、应用私钥、支付宝公钥、HTTPS 异步通知。</w:t>
      </w:r>
    </w:p>
    <w:p w14:paraId="0010001C" w14:textId="0010001D">
      <w:pPr>
        <w:spacing w:after="200"/>
      </w:pPr>
      <w:r>
        <w:rPr>
          <w:color w:val="B45309"/>
          <w:sz w:val="22"/>
        </w:rPr>
        <w:t xml:space="preserve">警告：禁止个人收款码监控、挂机扫码，或声称只填个人支付宝账号即可官方自动收款。</w:t>
      </w:r>
    </w:p>
    <w:p w14:paraId="0010001E" w14:textId="0010001F">
      <w:pPr>
        <w:spacing w:after="200"/>
      </w:pPr>
      <w:r>
        <w:rPr>
          <w:color w:val="B45309"/>
          <w:sz w:val="22"/>
        </w:rPr>
        <w:t xml:space="preserve">警告：禁止在文档或截图中出现真实密钥、完整 APPID、手机号等隐私。</w:t>
      </w:r>
    </w:p>
    <w:p w14:paraId="00100020" w14:textId="00100021">
      <w:pPr>
        <w:spacing w:after="160"/>
      </w:pPr>
      <w:r>
        <w:rPr>
          <w:sz w:val="22"/>
        </w:rPr>
        <w:t xml:space="preserve">对照实现：apps/server 通道与 env、apps/admin AlipayView、.env.example、README 与 docs/api.md。通道模式 CHANNEL_MODE 可为 mock、alipay 或 wxpay。</w:t>
      </w:r>
    </w:p>
    <w:p w14:paraId="00100024" w14:textId="00100026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2. 架构与主数据流</w:t>
      </w:r>
    </w:p>
    <w:p w14:paraId="00100027" w14:textId="00100028">
      <w:pPr>
        <w:spacing w:after="160"/>
      </w:pPr>
      <w:r>
        <w:rPr>
          <w:sz w:val="22"/>
        </w:rPr>
        <w:t xml:space="preserve">商户或 newapi 以 type=alipay 与 MD5 签名调用本平台 /mapi.php 或 /submit.php；服务端创建订单并走支付宝预下单；用户在 /pay/:tradeNo 或扫码支付；支付宝回调 POST /channels/alipay/notify，验签后置 paid 并通知商户 notify_url。</w:t>
      </w:r>
    </w:p>
    <w:p w14:paraId="00100029" w14:textId="001000E7">
      <w:pPr>
        <w:spacing w:before="160" w:after="80"/>
        <w:jc w:val="center"/>
      </w:pPr>
      <w:r>
        <w:rPr/>
        <w:t xml:space="preserve"> </w:t>
      </w:r>
      <w:r>
        <w:rPr/>
        <w:drawing>
          <wp:inline distT="0" distB="0" distL="0" distR="0">
            <wp:extent cx="5292000" cy="2592000"/>
            <wp:effectExtent l="0" t="0" r="0" b="0"/>
            <wp:docPr id="1" name="支付宝通道架构流程图（原创）" descr="支付宝通道架构流程图（原创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支付宝通道架构流程图（原创）"/>
                    <pic:cNvPicPr/>
                  </pic:nvPicPr>
                  <pic:blipFill>
                    <a:blip r:embed="Raac49454ad5f4e8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2B" w14:textId="0010002C">
      <w:pPr>
        <w:spacing w:after="240"/>
        <w:jc w:val="center"/>
      </w:pPr>
      <w:r>
        <w:rPr>
          <w:i/>
          <w:color w:val="64748B"/>
          <w:sz w:val="18"/>
        </w:rPr>
        <w:t xml:space="preserve">图：支付宝通道架构流程图（原创）</w:t>
      </w:r>
    </w:p>
    <w:p w14:paraId="0010002F" w14:textId="00100031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3. 字段映射：开放平台、环境变量与 Admin</w:t>
      </w:r>
    </w:p>
    <w:p w14:paraId="00100032" w14:textId="00100033">
      <w:pPr>
        <w:spacing w:after="160"/>
      </w:pPr>
      <w:r>
        <w:rPr>
          <w:sz w:val="22"/>
        </w:rPr>
        <w:t xml:space="preserve">配置优先级以服务端解析为准；Admin 写入 channel_configs，环境变量见 .env.example。默认通知 URL 为 {APP_URL}/channels/alipay/notify。</w:t>
      </w:r>
    </w:p>
    <w:p w14:paraId="00100034" w14:textId="001000E8">
      <w:pPr>
        <w:spacing w:before="160" w:after="80"/>
        <w:jc w:val="center"/>
      </w:pPr>
      <w:r>
        <w:rPr/>
        <w:t xml:space="preserve"> </w:t>
      </w:r>
      <w:r>
        <w:rPr/>
        <w:drawing>
          <wp:inline distT="0" distB="0" distL="0" distR="0">
            <wp:extent cx="5292000" cy="3204000"/>
            <wp:effectExtent l="0" t="0" r="0" b="0"/>
            <wp:docPr id="2" name="配置字段关系图（原创）" descr="配置字段关系图（原创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配置字段关系图（原创）"/>
                    <pic:cNvPicPr/>
                  </pic:nvPicPr>
                  <pic:blipFill>
                    <a:blip r:embed="R11ea1bf262f949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6" w14:textId="00100037">
      <w:pPr>
        <w:spacing w:after="240"/>
        <w:jc w:val="center"/>
      </w:pPr>
      <w:r>
        <w:rPr>
          <w:i/>
          <w:color w:val="64748B"/>
          <w:sz w:val="18"/>
        </w:rPr>
        <w:t xml:space="preserve">图：配置字段关系图（原创）</w:t>
      </w:r>
    </w:p>
    <w:p w14:paraId="00100038" w14:textId="00100039">
      <w:pPr>
        <w:pStyle w:val="Heading2"/>
        <w:spacing w:before="240" w:after="120"/>
      </w:pPr>
      <w:r>
        <w:rPr>
          <w:b/>
          <w:sz w:val="28"/>
        </w:rPr>
        <w:t xml:space="preserve">3.1 环境变量一览</w:t>
      </w:r>
    </w:p>
    <w:p w14:paraId="0010003A" w14:textId="0010003B">
      <w:pPr>
        <w:spacing w:after="160"/>
      </w:pPr>
      <w:r>
        <w:rPr>
          <w:sz w:val="22"/>
        </w:rPr>
        <w:t xml:space="preserve">ALIPAY_APP_ID — 应用 APPID</w:t>
      </w:r>
    </w:p>
    <w:p w14:paraId="0010003C" w14:textId="0010003D">
      <w:pPr>
        <w:spacing w:after="160"/>
      </w:pPr>
      <w:r>
        <w:rPr>
          <w:sz w:val="22"/>
        </w:rPr>
        <w:t xml:space="preserve">ALIPAY_PRIVATE_KEY — 应用私钥 PEM（秘密）</w:t>
      </w:r>
    </w:p>
    <w:p w14:paraId="0010003E" w14:textId="0010003F">
      <w:pPr>
        <w:spacing w:after="160"/>
      </w:pPr>
      <w:r>
        <w:rPr>
          <w:sz w:val="22"/>
        </w:rPr>
        <w:t xml:space="preserve">ALIPAY_PUBLIC_KEY — 支付宝公钥 PEM（秘密）</w:t>
      </w:r>
    </w:p>
    <w:p w14:paraId="00100040" w14:textId="00100041">
      <w:pPr>
        <w:spacing w:after="160"/>
      </w:pPr>
      <w:r>
        <w:rPr>
          <w:sz w:val="22"/>
        </w:rPr>
        <w:t xml:space="preserve">ALIPAY_NOTIFY_URL — 异步通知，可选覆盖默认路径</w:t>
      </w:r>
    </w:p>
    <w:p w14:paraId="00100042" w14:textId="00100043">
      <w:pPr>
        <w:spacing w:after="160"/>
      </w:pPr>
      <w:r>
        <w:rPr>
          <w:sz w:val="22"/>
        </w:rPr>
        <w:t xml:space="preserve">ALIPAY_RETURN_URL — 同步跳转</w:t>
      </w:r>
    </w:p>
    <w:p w14:paraId="00100044" w14:textId="00100045">
      <w:pPr>
        <w:spacing w:after="160"/>
      </w:pPr>
      <w:r>
        <w:rPr>
          <w:sz w:val="22"/>
        </w:rPr>
        <w:t xml:space="preserve">ALIPAY_ACCOUNT — 结算备注展示，不是收款密钥</w:t>
      </w:r>
    </w:p>
    <w:p w14:paraId="00100046" w14:textId="00100047">
      <w:pPr>
        <w:spacing w:after="160"/>
      </w:pPr>
      <w:r>
        <w:rPr>
          <w:sz w:val="22"/>
        </w:rPr>
        <w:t xml:space="preserve">CHANNEL_MODE=alipay — 真实支付宝模式（本地可用 mock）</w:t>
      </w:r>
    </w:p>
    <w:p w14:paraId="00100048" w14:textId="00100049">
      <w:pPr>
        <w:pStyle w:val="Heading2"/>
        <w:spacing w:before="240" w:after="120"/>
      </w:pPr>
      <w:r>
        <w:rPr>
          <w:b/>
          <w:sz w:val="28"/>
        </w:rPr>
        <w:t xml:space="preserve">3.2 Admin API 与 UI</w:t>
      </w:r>
    </w:p>
    <w:p w14:paraId="0010004A" w14:textId="0010004B">
      <w:pPr>
        <w:spacing w:after="160"/>
      </w:pPr>
      <w:r>
        <w:rPr>
          <w:sz w:val="22"/>
        </w:rPr>
        <w:t xml:space="preserve">UI 路由：/channels/alipay（AlipayView.vue）。</w:t>
      </w:r>
    </w:p>
    <w:p w14:paraId="0010004C" w14:textId="0010004D">
      <w:pPr>
        <w:spacing w:after="160"/>
      </w:pPr>
      <w:r>
        <w:rPr>
          <w:sz w:val="22"/>
        </w:rPr>
        <w:t xml:space="preserve">API：GET 与 PUT /admin/api/channels/alipay。</w:t>
      </w:r>
    </w:p>
    <w:p w14:paraId="0010004E" w14:textId="0010004F">
      <w:pPr>
        <w:spacing w:after="160"/>
      </w:pPr>
      <w:r>
        <w:rPr>
          <w:sz w:val="22"/>
        </w:rPr>
        <w:t xml:space="preserve">GET 永不回显完整 private_key 与 public_key，仅 has 标志与可选 hint；PUT 密钥留空表示保留原值。</w:t>
      </w:r>
    </w:p>
    <w:p w14:paraId="00100052" w14:textId="00100054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4. 开放平台准备与 RSA2 密钥</w:t>
      </w:r>
    </w:p>
    <w:p w14:paraId="00100055" w14:textId="00100056">
      <w:pPr>
        <w:spacing w:after="160"/>
      </w:pPr>
      <w:r>
        <w:rPr>
          <w:sz w:val="22"/>
        </w:rPr>
        <w:t xml:space="preserve">登录支付宝开放平台，创建应用并取得 APPID；接口加签选择 RSA2；上传应用公钥并保存支付宝公钥；开通当面付或扫码等已签约产品；将异步通知配置为 https://你的域名/channels/alipay/notify。</w:t>
      </w:r>
    </w:p>
    <w:p w14:paraId="00100057" w14:textId="00100058">
      <w:pPr>
        <w:spacing w:after="160"/>
      </w:pPr>
      <w:r>
        <w:rPr>
          <w:sz w:val="22"/>
        </w:rPr>
        <w:t xml:space="preserve">OpenSSL 示例（在安全机器执行，勿提交私钥）：openssl genrsa -out app_private_key.pem 2048；openssl rsa -in app_private_key.pem -pubout -out app_public_key.pem。</w:t>
      </w:r>
    </w:p>
    <w:p w14:paraId="00100059" w14:textId="0010005A">
      <w:pPr>
        <w:spacing w:after="200"/>
      </w:pPr>
      <w:r>
        <w:rPr>
          <w:color w:val="B45309"/>
          <w:sz w:val="22"/>
        </w:rPr>
        <w:t xml:space="preserve">警告：开放平台控制台界面可能更新；若引用官网截图须脱敏且标注界面可能变化。本教程使用原创图与脱敏 Admin 模拟图。</w:t>
      </w:r>
    </w:p>
    <w:p w14:paraId="0010005D" w14:textId="0010005F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5. 在 HuaJian_Pay 中配置</w:t>
      </w:r>
    </w:p>
    <w:p w14:paraId="00100060" w14:textId="00100061">
      <w:pPr>
        <w:pStyle w:val="Heading2"/>
        <w:spacing w:before="240" w:after="120"/>
      </w:pPr>
      <w:r>
        <w:rPr>
          <w:b/>
          <w:sz w:val="28"/>
        </w:rPr>
        <w:t xml:space="preserve">5.1 环境变量方式</w:t>
      </w:r>
    </w:p>
    <w:p w14:paraId="00100062" w14:textId="00100063">
      <w:pPr>
        <w:spacing w:after="160"/>
      </w:pPr>
      <w:r>
        <w:rPr>
          <w:sz w:val="22"/>
        </w:rPr>
        <w:t xml:space="preserve">复制 .env.example 为 .env，填写 ALIPAY 系列变量与 CHANNEL_MODE=alipay、APP_URL（公网 HTTPS）。Docker 场景密钥仅运行时注入，勿打入镜像。</w:t>
      </w:r>
    </w:p>
    <w:p w14:paraId="00100064" w14:textId="00100065">
      <w:pPr>
        <w:pStyle w:val="Heading2"/>
        <w:spacing w:before="240" w:after="120"/>
      </w:pPr>
      <w:r>
        <w:rPr>
          <w:b/>
          <w:sz w:val="28"/>
        </w:rPr>
        <w:t xml:space="preserve">5.2 Admin 图形配置</w:t>
      </w:r>
    </w:p>
    <w:p w14:paraId="00100066" w14:textId="00100067">
      <w:pPr>
        <w:spacing w:after="160"/>
      </w:pPr>
      <w:r>
        <w:rPr>
          <w:sz w:val="22"/>
        </w:rPr>
        <w:t xml:space="preserve">启动 API 与 Admin 后登录后台，打开支付宝通道，填写 App ID 与密钥、通知 URL，点击保存。再次进入时密钥框应为空并显示已配置。</w:t>
      </w:r>
    </w:p>
    <w:p w14:paraId="00100068" w14:textId="001000E9">
      <w:pPr>
        <w:spacing w:before="160" w:after="80"/>
        <w:jc w:val="center"/>
      </w:pPr>
      <w:r>
        <w:rPr/>
        <w:t xml:space="preserve"> </w:t>
      </w:r>
      <w:r>
        <w:rPr/>
        <w:drawing>
          <wp:inline distT="0" distB="0" distL="0" distR="0">
            <wp:extent cx="5292000" cy="3744000"/>
            <wp:effectExtent l="0" t="0" r="0" b="0"/>
            <wp:docPr id="3" name="Admin 支付宝配置页脱敏示意图（对照 AlipayView，非真实密钥）" descr="Admin 支付宝配置页脱敏示意图（对照 AlipayView，非真实密钥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Admin 支付宝配置页脱敏示意图（对照 AlipayView，非真实密钥）"/>
                    <pic:cNvPicPr/>
                  </pic:nvPicPr>
                  <pic:blipFill>
                    <a:blip r:embed="R8357a024943d4f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6A" w14:textId="0010006B">
      <w:pPr>
        <w:spacing w:after="240"/>
        <w:jc w:val="center"/>
      </w:pPr>
      <w:r>
        <w:rPr>
          <w:i/>
          <w:color w:val="64748B"/>
          <w:sz w:val="18"/>
        </w:rPr>
        <w:t xml:space="preserve">图：Admin 支付宝配置页脱敏示意图（对照 AlipayView，非真实密钥）</w:t>
      </w:r>
    </w:p>
    <w:p w14:paraId="0010006E" w14:textId="00100070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6. newapi 接入</w:t>
      </w:r>
    </w:p>
    <w:p w14:paraId="00100071" w14:textId="00100072">
      <w:pPr>
        <w:spacing w:after="160"/>
      </w:pPr>
      <w:r>
        <w:rPr>
          <w:sz w:val="22"/>
        </w:rPr>
        <w:t xml:space="preserve">易支付接口地址填 APP_URL；PID 与 KEY 使用 PLATFORM_PID 与 PLATFORM_KEY 或 Admin 商户；支付类型 type=alipay；签名 MD5。详见 docs/newapi-integration.md。</w:t>
      </w:r>
    </w:p>
    <w:p w14:paraId="00100075" w14:textId="00100077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7. Mock 与真实小额验收</w:t>
      </w:r>
    </w:p>
    <w:p w14:paraId="00100078" w14:textId="001000EA">
      <w:pPr>
        <w:spacing w:before="160" w:after="80"/>
        <w:jc w:val="center"/>
      </w:pPr>
      <w:r>
        <w:rPr/>
        <w:t xml:space="preserve"> </w:t>
      </w:r>
      <w:r>
        <w:rPr/>
        <w:drawing>
          <wp:inline distT="0" distB="0" distL="0" distR="0">
            <wp:extent cx="5292000" cy="2556000"/>
            <wp:effectExtent l="0" t="0" r="0" b="0"/>
            <wp:docPr id="4" name="Mock 与真实验收回调流程图（原创）" descr="Mock 与真实验收回调流程图（原创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Mock 与真实验收回调流程图（原创）"/>
                    <pic:cNvPicPr/>
                  </pic:nvPicPr>
                  <pic:blipFill>
                    <a:blip r:embed="Rd2cc5e15f9ca47a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A" w14:textId="0010007B">
      <w:pPr>
        <w:spacing w:after="240"/>
        <w:jc w:val="center"/>
      </w:pPr>
      <w:r>
        <w:rPr>
          <w:i/>
          <w:color w:val="64748B"/>
          <w:sz w:val="18"/>
        </w:rPr>
        <w:t xml:space="preserve">图：Mock 与真实验收回调流程图（原创）</w:t>
      </w:r>
    </w:p>
    <w:p w14:paraId="0010007C" w14:textId="0010007D">
      <w:pPr>
        <w:spacing w:after="160"/>
      </w:pPr>
      <w:r>
        <w:rPr>
          <w:sz w:val="22"/>
        </w:rPr>
        <w:t xml:space="preserve">Mock：CHANNEL_MODE=mock 后执行 pnpm test:mock-e2e 或 pnpm dev，无需真实密钥。</w:t>
      </w:r>
    </w:p>
    <w:p w14:paraId="0010007E" w14:textId="0010007F">
      <w:pPr>
        <w:spacing w:after="160"/>
      </w:pPr>
      <w:r>
        <w:rPr>
          <w:sz w:val="22"/>
        </w:rPr>
        <w:t xml:space="preserve">真实：配置密钥与 HTTPS notify，type=alipay 小额下单，订单 paid，商户 notify 成功，重复通知幂等，Admin 密钥不回显。</w:t>
      </w:r>
    </w:p>
    <w:p w14:paraId="00100082" w14:textId="00100084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8. 回调、HTTPS 与防火墙</w:t>
      </w:r>
    </w:p>
    <w:p w14:paraId="00100085" w14:textId="00100086">
      <w:pPr>
        <w:spacing w:after="160"/>
      </w:pPr>
      <w:r>
        <w:rPr>
          <w:sz w:val="22"/>
        </w:rPr>
        <w:t xml:space="preserve">路径必须为 POST /channels/alipay/notify；生产强制 HTTPS；反代保留原始 body；同步 return_url 不能替代异步入账。</w:t>
      </w:r>
    </w:p>
    <w:p w14:paraId="00100089" w14:textId="0010008B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9. 常见错误排查</w:t>
      </w:r>
    </w:p>
    <w:p w14:paraId="0010008C" w14:textId="0010008D">
      <w:pPr>
        <w:spacing w:after="160"/>
      </w:pPr>
      <w:r>
        <w:rPr>
          <w:sz w:val="22"/>
        </w:rPr>
        <w:t xml:space="preserve">验签失败：支付宝公钥与应用不匹配或 PEM 格式错误。</w:t>
      </w:r>
    </w:p>
    <w:p w14:paraId="0010008E" w14:textId="0010008F">
      <w:pPr>
        <w:spacing w:after="160"/>
      </w:pPr>
      <w:r>
        <w:rPr>
          <w:sz w:val="22"/>
        </w:rPr>
        <w:t xml:space="preserve">无回调：非 HTTPS、URL 错误或防火墙拦截。</w:t>
      </w:r>
    </w:p>
    <w:p w14:paraId="00100090" w14:textId="00100091">
      <w:pPr>
        <w:spacing w:after="160"/>
      </w:pPr>
      <w:r>
        <w:rPr>
          <w:sz w:val="22"/>
        </w:rPr>
        <w:t xml:space="preserve">金额拒单：下单金额与回调不一致。</w:t>
      </w:r>
    </w:p>
    <w:p w14:paraId="00100092" w14:textId="00100093">
      <w:pPr>
        <w:spacing w:after="160"/>
      </w:pPr>
      <w:r>
        <w:rPr>
          <w:sz w:val="22"/>
        </w:rPr>
        <w:t xml:space="preserve">密钥未配置：确认 PUT 空值保留语义与 Admin 客户端行为。</w:t>
      </w:r>
    </w:p>
    <w:p w14:paraId="00100094" w14:textId="00100095">
      <w:pPr>
        <w:spacing w:after="160"/>
      </w:pPr>
      <w:r>
        <w:rPr>
          <w:sz w:val="22"/>
        </w:rPr>
        <w:t xml:space="preserve">误用 ALIPAY_ACCOUNT：该字段仅为备注，不是官方收款凭据。</w:t>
      </w:r>
    </w:p>
    <w:p w14:paraId="00100098" w14:textId="0010009A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10. 密钥轮换与安全</w:t>
      </w:r>
    </w:p>
    <w:p w14:paraId="0010009B" w14:textId="0010009C">
      <w:pPr>
        <w:spacing w:after="160"/>
      </w:pPr>
      <w:r>
        <w:rPr>
          <w:sz w:val="22"/>
        </w:rPr>
        <w:t xml:space="preserve">开放平台轮换密钥后，在维护窗口通过 Admin 或 env 更新并小额验证；日志禁止打印完整 PEM；参见 docs/security-checklist.md。</w:t>
      </w:r>
    </w:p>
    <w:p w14:paraId="0010009F" w14:textId="001000A1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11. 图片与文件清单</w:t>
      </w:r>
    </w:p>
    <w:p w14:paraId="001000A2" w14:textId="001000A3">
      <w:pPr>
        <w:spacing w:after="160"/>
      </w:pPr>
      <w:r>
        <w:rPr>
          <w:sz w:val="22"/>
        </w:rPr>
        <w:t xml:space="preserve">01-architecture-flow.png — 架构流程</w:t>
      </w:r>
    </w:p>
    <w:p w14:paraId="001000A4" w14:textId="001000A5">
      <w:pPr>
        <w:spacing w:after="160"/>
      </w:pPr>
      <w:r>
        <w:rPr>
          <w:sz w:val="22"/>
        </w:rPr>
        <w:t xml:space="preserve">02-field-mapping.png — 字段映射</w:t>
      </w:r>
    </w:p>
    <w:p w14:paraId="001000A6" w14:textId="001000A7">
      <w:pPr>
        <w:spacing w:after="160"/>
      </w:pPr>
      <w:r>
        <w:rPr>
          <w:sz w:val="22"/>
        </w:rPr>
        <w:t xml:space="preserve">03-admin-alipay-config-desensitized.png — 脱敏 Admin 配置页</w:t>
      </w:r>
    </w:p>
    <w:p w14:paraId="001000A8" w14:textId="001000A9">
      <w:pPr>
        <w:spacing w:after="160"/>
      </w:pPr>
      <w:r>
        <w:rPr>
          <w:sz w:val="22"/>
        </w:rPr>
        <w:t xml:space="preserve">04-acceptance-callback-flow.png — 验收回调流程</w:t>
      </w:r>
    </w:p>
    <w:p w14:paraId="001000AA" w14:textId="001000AB">
      <w:pPr>
        <w:spacing w:after="160"/>
      </w:pPr>
      <w:r>
        <w:rPr>
          <w:sz w:val="22"/>
        </w:rPr>
        <w:t xml:space="preserve">Markdown：docs/guides/alipay-channel-setup.md</w:t>
      </w:r>
    </w:p>
    <w:p w14:paraId="001000AC" w14:textId="001000F7">
      <w:pPr>
        <w:spacing w:after="160"/>
      </w:pPr>
      <w:r>
        <w:rPr>
          <w:sz w:val="22"/>
        </w:rPr>
        <w:t xml:space="preserve">本 Word 高清版：docs/guides/HuaJian_Pay-支付宝通道配置教程-高清版.docx</w:t>
      </w:r>
    </w:p>
    <w:p w14:paraId="001000EB" w14:textId="001000EC">
      <w:pPr>
        <w:pStyle w:val="Heading1"/>
        <w:pageBreakBefore/>
      </w:pPr>
      <w:r>
        <w:rPr>
          <w:b/>
          <w:sz w:val="36"/>
        </w:rPr>
        <w:t xml:space="preserve">12. 官网与项目链接</w:t>
      </w:r>
    </w:p>
    <w:p w14:paraId="001000ED" w14:textId="001000EE">
      <w:pPr/>
      <w:r>
        <w:rPr>
          <w:sz w:val="22"/>
        </w:rPr>
        <w:t xml:space="preserve">以下链接均可直接点击打开：</w:t>
      </w:r>
    </w:p>
    <w:p w14:paraId="001000EF" w14:textId="001000F0">
      <w:pPr/>
      <w:r>
        <w:rPr/>
        <w:t xml:space="preserve"/>
      </w:r>
      <w:hyperlink r:id="R792911e01aad4d84">
        <w:r>
          <w:rPr>
            <w:color w:val="0563C1" w:themeColor="hyperlink"/>
            <w:u w:val="single"/>
          </w:rPr>
          <w:t xml:space="preserve">支付宝开放平台官网：https://open.alipay.com/</w:t>
        </w:r>
      </w:hyperlink>
    </w:p>
    <w:p w14:paraId="001000F1" w14:textId="001000F2">
      <w:pPr/>
      <w:r>
        <w:rPr/>
        <w:t xml:space="preserve"/>
      </w:r>
      <w:hyperlink r:id="Rad175f0b6de84f9f">
        <w:r>
          <w:rPr>
            <w:color w:val="0563C1" w:themeColor="hyperlink"/>
            <w:u w:val="single"/>
          </w:rPr>
          <w:t xml:space="preserve">支付宝开放平台文档中心：https://opendocs.alipay.com/</w:t>
        </w:r>
      </w:hyperlink>
    </w:p>
    <w:p w14:paraId="001000F3" w14:textId="001000F4">
      <w:pPr/>
      <w:r>
        <w:rPr/>
        <w:t xml:space="preserve"/>
      </w:r>
      <w:hyperlink r:id="R7806abd12b78400c">
        <w:r>
          <w:rPr>
            <w:color w:val="0563C1" w:themeColor="hyperlink"/>
            <w:u w:val="single"/>
          </w:rPr>
          <w:t xml:space="preserve">支付宝开放平台控制台：https://open.alipay.com/develop/manage</w:t>
        </w:r>
      </w:hyperlink>
    </w:p>
    <w:p w14:paraId="001000F5" w14:textId="001000F6">
      <w:pPr/>
      <w:r>
        <w:rPr/>
        <w:t xml:space="preserve"/>
      </w:r>
      <w:hyperlink r:id="R752e02cb8d774cd2">
        <w:r>
          <w:rPr>
            <w:color w:val="0563C1" w:themeColor="hyperlink"/>
            <w:u w:val="single"/>
          </w:rPr>
          <w:t xml:space="preserve">HuaJian_Pay 项目主页：https://github.com/lysimportant/HuaJian_Pay</w:t>
        </w:r>
      </w:hyperlink>
    </w:p>
    <w:sectPr>
      <w:headerReference w:type="default" r:id="R618e57e9249c4b8c"/>
      <w:footerReference w:type="default" r:id="Rb13bb11a14264cc6"/>
      <w:footerReference w:type="first" r:id="R2621bf91699b4e9c"/>
      <w:pgSz w:w="11906" w:h="16838"/>
      <w:pgMar w:top="1134" w:right="1134" w:bottom="1134" w:left="1134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AE" w14:textId="001000AF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0" w14:textId="001000B3">
    <w:pPr>
      <w:jc w:val="center"/>
    </w:pPr>
    <w:r>
      <w:rPr>
        <w:sz w:val="18"/>
      </w:rPr>
      <w:t xml:space="preserve">HuaJian_Pay 支付宝通道教程 · 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页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B4" w14:textId="001000B5">
    <w:pPr>
      <w:jc w:val="right"/>
    </w:pPr>
    <w:r>
      <w:rPr>
        <w:color w:val="64748B"/>
        <w:sz w:val="18"/>
      </w:rPr>
      <w:t xml:space="preserve">HuaJian_Pay · 支付宝 RSA2 配置教程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c92f834e9c04373" /><Relationship Type="http://schemas.openxmlformats.org/officeDocument/2006/relationships/styles" Target="/word/styles.xml" Id="R98f0ac08a7944087" /><Relationship Type="http://schemas.openxmlformats.org/officeDocument/2006/relationships/theme" Target="/word/theme/theme1.xml" Id="R2c90e25a8dd9440e" /><Relationship Type="http://schemas.openxmlformats.org/officeDocument/2006/relationships/numbering" Target="/word/numbering.xml" Id="R31db3ac55f604d8d" /><Relationship Type="http://schemas.openxmlformats.org/officeDocument/2006/relationships/footer" Target="/word/footer1.xml" Id="R2621bf91699b4e9c" /><Relationship Type="http://schemas.openxmlformats.org/officeDocument/2006/relationships/footer" Target="/word/footer2.xml" Id="Rb13bb11a14264cc6" /><Relationship Type="http://schemas.openxmlformats.org/officeDocument/2006/relationships/header" Target="/word/header1.xml" Id="R618e57e9249c4b8c" /><Relationship Type="http://schemas.openxmlformats.org/officeDocument/2006/relationships/image" Target="/media/image5.png" Id="Raac49454ad5f4e8c" /><Relationship Type="http://schemas.openxmlformats.org/officeDocument/2006/relationships/image" Target="/media/image6.png" Id="R11ea1bf262f94988" /><Relationship Type="http://schemas.openxmlformats.org/officeDocument/2006/relationships/image" Target="/media/image7.png" Id="R8357a024943d4fd3" /><Relationship Type="http://schemas.openxmlformats.org/officeDocument/2006/relationships/image" Target="/media/image8.png" Id="Rd2cc5e15f9ca47ad" /><Relationship Type="http://schemas.openxmlformats.org/officeDocument/2006/relationships/hyperlink" Target="https://open.alipay.com/" TargetMode="External" Id="R792911e01aad4d84" /><Relationship Type="http://schemas.openxmlformats.org/officeDocument/2006/relationships/hyperlink" Target="https://opendocs.alipay.com/" TargetMode="External" Id="Rad175f0b6de84f9f" /><Relationship Type="http://schemas.openxmlformats.org/officeDocument/2006/relationships/hyperlink" Target="https://open.alipay.com/develop/manage" TargetMode="External" Id="R7806abd12b78400c" /><Relationship Type="http://schemas.openxmlformats.org/officeDocument/2006/relationships/hyperlink" Target="https://github.com/lysimportant/HuaJian_Pay" TargetMode="External" Id="R752e02cb8d774c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2026-07-25T02:48:38Z</dcterms:created>
  <cp:lastModifiedBy>OfficeCLI</cp:lastModifiedBy>
  <dcterms:modified xsi:type="dcterms:W3CDTF">2026-07-25T02:48:38Z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1.0.141</vt:lpwstr>
  </op:property>
  <op:property fmtid="{D5CDD505-2E9C-101B-9397-08002B2CF9AE}" pid="3" name="OfficeCLI.LastModified">
    <vt:lpwstr xmlns:vt="http://schemas.openxmlformats.org/officeDocument/2006/docPropsVTypes">2026-07-25T08:08:50Z</vt:lpwstr>
  </op:property>
</op:Properties>
</file>