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4 -->
  <w:body>
    <w:p>
      <w:pPr>
        <w:pageBreakBefore/>
        <w:widowControl w:val="0"/>
        <w:spacing w:before="1560" w:after="1248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宋体" w:eastAsia="宋体" w:hAnsi="宋体" w:cs="宋体"/>
          <w:b/>
          <w:bCs/>
          <w:spacing w:val="60"/>
          <w:sz w:val="44"/>
          <w:szCs w:val="44"/>
        </w:rPr>
        <w:t>湖南工业大学</w:t>
      </w:r>
    </w:p>
    <w:p>
      <w:pPr>
        <w:pStyle w:val="Heading1"/>
        <w:keepLines/>
        <w:widowControl w:val="0"/>
        <w:spacing w:before="120" w:after="0"/>
        <w:jc w:val="center"/>
        <w:outlineLvl w:val="9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bookmarkStart w:id="0" w:name="_Toc360006042"/>
      <w:bookmarkStart w:id="1" w:name="_Toc25160735"/>
      <w:bookmarkStart w:id="2" w:name="_Toc357977651"/>
      <w:r>
        <w:rPr>
          <w:rFonts w:ascii="宋体" w:eastAsia="宋体" w:hAnsi="宋体" w:cs="宋体"/>
          <w:kern w:val="36"/>
          <w:sz w:val="44"/>
          <w:szCs w:val="44"/>
        </w:rPr>
        <w:t>毕业论文（设计）开题报告</w:t>
      </w:r>
      <w:bookmarkEnd w:id="0"/>
      <w:bookmarkEnd w:id="1"/>
      <w:bookmarkEnd w:id="2"/>
    </w:p>
    <w:p>
      <w:pPr>
        <w:widowControl w:val="0"/>
        <w:spacing w:before="624" w:after="2184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宋体" w:eastAsia="宋体" w:hAnsi="宋体" w:cs="宋体"/>
          <w:b/>
          <w:bCs/>
          <w:sz w:val="44"/>
          <w:szCs w:val="44"/>
        </w:rPr>
        <w:t>（</w:t>
      </w:r>
      <w:r>
        <w:rPr>
          <w:rFonts w:ascii="宋体" w:eastAsia="宋体" w:hAnsi="宋体" w:cs="宋体"/>
          <w:b/>
          <w:bCs/>
          <w:sz w:val="44"/>
          <w:szCs w:val="44"/>
        </w:rPr>
        <w:t>2026</w:t>
      </w:r>
      <w:r>
        <w:rPr>
          <w:rFonts w:ascii="宋体" w:eastAsia="宋体" w:hAnsi="宋体" w:cs="宋体"/>
          <w:b/>
          <w:bCs/>
          <w:sz w:val="44"/>
          <w:szCs w:val="44"/>
        </w:rPr>
        <w:t>届）</w:t>
      </w:r>
    </w:p>
    <w:tbl>
      <w:tblPr>
        <w:tblW w:w="6477" w:type="dxa"/>
        <w:jc w:val="center"/>
        <w:tblInd w:w="5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399"/>
        <w:gridCol w:w="291"/>
        <w:gridCol w:w="1882"/>
        <w:gridCol w:w="934"/>
        <w:gridCol w:w="1970"/>
      </w:tblGrid>
      <w:tr>
        <w:tblPrEx>
          <w:tblW w:w="6477" w:type="dxa"/>
          <w:jc w:val="center"/>
          <w:tblInd w:w="5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1412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ind w:left="105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学院</w:t>
            </w:r>
          </w:p>
        </w:tc>
        <w:tc>
          <w:tcPr>
            <w:tcW w:w="240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4825" w:type="dxa"/>
            <w:gridSpan w:val="3"/>
            <w:tcBorders>
              <w:bottom w:val="single" w:sz="6" w:space="0" w:color="000000"/>
            </w:tcBorders>
            <w:noWrap w:val="0"/>
            <w:tcMar>
              <w:top w:w="62" w:type="dxa"/>
              <w:left w:w="5" w:type="dxa"/>
              <w:bottom w:w="58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计算机与人工智能学院</w:t>
            </w:r>
          </w:p>
        </w:tc>
      </w:tr>
      <w:tr>
        <w:tblPrEx>
          <w:tblW w:w="6477" w:type="dxa"/>
          <w:jc w:val="center"/>
          <w:tblInd w:w="5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1412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ind w:left="105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专业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班级</w:t>
            </w:r>
          </w:p>
        </w:tc>
        <w:tc>
          <w:tcPr>
            <w:tcW w:w="240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4825" w:type="dxa"/>
            <w:gridSpan w:val="3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5" w:type="dxa"/>
              <w:bottom w:w="58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人工智能2202</w:t>
            </w:r>
          </w:p>
        </w:tc>
      </w:tr>
      <w:tr>
        <w:tblPrEx>
          <w:tblW w:w="6477" w:type="dxa"/>
          <w:jc w:val="center"/>
          <w:tblInd w:w="5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1412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ind w:left="105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学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号</w:t>
            </w:r>
          </w:p>
        </w:tc>
        <w:tc>
          <w:tcPr>
            <w:tcW w:w="240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4825" w:type="dxa"/>
            <w:gridSpan w:val="3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5" w:type="dxa"/>
              <w:bottom w:w="58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22403500215</w:t>
            </w:r>
          </w:p>
        </w:tc>
      </w:tr>
      <w:tr>
        <w:tblPrEx>
          <w:tblW w:w="6477" w:type="dxa"/>
          <w:jc w:val="center"/>
          <w:tblInd w:w="5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1412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ind w:left="105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姓名</w:t>
            </w:r>
          </w:p>
        </w:tc>
        <w:tc>
          <w:tcPr>
            <w:tcW w:w="240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4825" w:type="dxa"/>
            <w:gridSpan w:val="3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5" w:type="dxa"/>
              <w:bottom w:w="58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罗广</w:t>
            </w:r>
          </w:p>
        </w:tc>
      </w:tr>
      <w:tr>
        <w:tblPrEx>
          <w:tblW w:w="6477" w:type="dxa"/>
          <w:jc w:val="center"/>
          <w:tblInd w:w="5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1412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ind w:left="105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指导教师</w:t>
            </w:r>
          </w:p>
        </w:tc>
        <w:tc>
          <w:tcPr>
            <w:tcW w:w="240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5" w:type="dxa"/>
              <w:bottom w:w="58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袁义</w:t>
            </w:r>
          </w:p>
        </w:tc>
        <w:tc>
          <w:tcPr>
            <w:tcW w:w="936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职称：</w:t>
            </w:r>
          </w:p>
        </w:tc>
        <w:tc>
          <w:tcPr>
            <w:tcW w:w="1905" w:type="dxa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113" w:type="dxa"/>
              <w:bottom w:w="58" w:type="dxa"/>
              <w:right w:w="113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6477" w:type="dxa"/>
          <w:jc w:val="center"/>
          <w:tblInd w:w="5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1412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</w:tcPr>
          <w:p>
            <w:pPr>
              <w:widowControl w:val="0"/>
              <w:spacing w:before="0" w:after="0" w:line="400" w:lineRule="atLeast"/>
              <w:ind w:left="105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40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5" w:type="dxa"/>
              <w:bottom w:w="58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936" w:type="dxa"/>
            <w:noWrap w:val="0"/>
            <w:tcMar>
              <w:top w:w="62" w:type="dxa"/>
              <w:left w:w="5" w:type="dxa"/>
              <w:bottom w:w="62" w:type="dxa"/>
              <w:right w:w="5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  <w:sz w:val="28"/>
                <w:szCs w:val="28"/>
              </w:rPr>
              <w:t>职称：</w:t>
            </w:r>
          </w:p>
        </w:tc>
        <w:tc>
          <w:tcPr>
            <w:tcW w:w="1905" w:type="dxa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113" w:type="dxa"/>
              <w:bottom w:w="58" w:type="dxa"/>
              <w:right w:w="113" w:type="dxa"/>
            </w:tcMar>
            <w:vAlign w:val="center"/>
            <w:hideMark/>
          </w:tcPr>
          <w:p>
            <w:pPr>
              <w:widowControl w:val="0"/>
              <w:spacing w:before="0" w:after="0" w:line="400" w:lineRule="atLeast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widowControl w:val="0"/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widowControl w:val="0"/>
        <w:spacing w:before="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widowControl w:val="0"/>
        <w:spacing w:before="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widowControl w:val="0"/>
        <w:spacing w:before="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>
      <w:pPr>
        <w:widowControl w:val="0"/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 xml:space="preserve">年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>月</w:t>
      </w:r>
    </w:p>
    <w:tbl>
      <w:tblPr>
        <w:tblW w:w="4900" w:type="pct"/>
        <w:jc w:val="center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82"/>
        <w:gridCol w:w="11409"/>
        <w:gridCol w:w="19389"/>
      </w:tblGrid>
      <w:tr>
        <w:tblPrEx>
          <w:tblW w:w="4900" w:type="pct"/>
          <w:jc w:val="center"/>
          <w:tblInd w:w="11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gridSpan w:val="3"/>
            <w:tcBorders>
              <w:bottom w:val="single" w:sz="6" w:space="0" w:color="000000"/>
            </w:tcBorders>
            <w:noWrap w:val="0"/>
            <w:tcMar>
              <w:top w:w="114" w:type="dxa"/>
              <w:left w:w="108" w:type="dxa"/>
              <w:bottom w:w="114" w:type="dxa"/>
              <w:right w:w="108" w:type="dxa"/>
            </w:tcMar>
            <w:vAlign w:val="center"/>
            <w:hideMark/>
          </w:tcPr>
          <w:p>
            <w:pPr>
              <w:pageBreakBefore/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基于API部署的智能领域聊天机器人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9"/>
          <w:jc w:val="center"/>
        </w:trPr>
        <w:tc>
          <w:tcPr>
            <w:gridSpan w:val="3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108" w:type="dxa"/>
              <w:bottom w:w="58" w:type="dxa"/>
              <w:right w:w="108" w:type="dxa"/>
            </w:tcMar>
            <w:vAlign w:val="top"/>
            <w:hideMark/>
          </w:tcPr>
          <w:p>
            <w:pPr>
              <w:widowControl w:val="0"/>
              <w:spacing w:before="94" w:after="94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1. 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结合课题任务情况，查阅文献资料，撰写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1500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～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2000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字左右的文献综述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）课题研究背景及意义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随着人工智能技术的飞速发展，智能领域聊天机器人作为人机交互的重要载体，正深刻改变着公共服务与商业服务的模式。在医疗领域，智能问诊机器人能缓解医疗资源紧张，为患者提供初步的健康咨询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[6]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；在教育领域，智能辅导机器人可实现个性化教学，提升学习效率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[2]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；在金融领域，智能投顾机器人为用户提供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7x24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小时的理财建议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[3]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。王胜兰与钟燕兰的元分析研究证实，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聊天机器人能显著影响学习者的情绪体验与认知学习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[2]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。这些成功应用表明，基于特定领域知识的智能聊天机器人，能够有效提升服务效率、降低运营成本、扩大服务覆盖面。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然而，在法律服务领域，民众获取专业法律知识的门槛依然较高，信息不对称易导致权益受损；法律从业者则需在海量的法律条文、司法解释和判例中进行检索，效率低下且重复性工作繁重。现有的法律服务多依赖人工咨询，存在响应慢、成本高、覆盖有限等问题。虽然部分机构推出了法律问答系统，但大多功能单一，局限于简单的法条检索，缺乏深层次的语义理解和知识推理能力，更不具备灵活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部署能力，难以集成到政务平台、企业合规系统等第三方应用中，无法满足多样化的服务需求。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在此背景下，设计并实现一个基于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部署的智能领域聊天机器人，具有重要的现实意义。该系统不仅能整合自然语言处理（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NLP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）与知识图谱等前沿技术，为普通民众提供便捷、普惠的法律知识服务，促进社会公平；同时也能为法律从业者提供高效的智能辅助工具，减轻其工作负担。此外，通过提供标准化的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接口，该系统可轻松嵌入各类政务、企业平台，推动法律服务生态的数字化转型，为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数字中国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智慧司法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建设提供有力支撑。邢国忠与赖希然指出，社交机器人在信息传播中扮演着日益重要的角色，其技术应用具有深远启示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）国内外研究现状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国外研究在智能聊天机器人领域起步较早，技术体系相对成熟。早期研究以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Freebase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YAGO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等大规模通用知识库为基础，探索自然语言问题到结构化查询的转换，为领域专用问答系统奠定了技术基础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[7]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。在语义理解方面，国外学者提出了多层次关系表示和注意力增强的交互式匹配模型，在公开数据集上取得了显著性能突破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[8]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。然而，这些系统多服务于英美法系，其知识体系和法律逻辑与我国成文法体系存在差异，直接应用存在兼容性问题。同时，其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部署虽注重标准化，但对中文法律语言的复杂性、专业性优化不足，难以应对国内复杂的法律问题。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国内研究近年来发展迅猛，尤其在中文信息处理和领域知识应用方面取得了长足进步。在基础理论层面，刘知远等人系统性地综述了知识图谱的构建与应用技术，为领域知识的结构化表示提供了坚实的理论框架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[7]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。在核心技术上，深度学习已成为主流。李航在信息检索领域的经典著作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[9]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和周明等人关于深度学习在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NLP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中应用的综述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[10]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，为智能问答系统的研发提供了方法论指导。特别是，大规模预训练模型（如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BERT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及其变体）的出现，极大地提升了模型对上下文语义的理解能力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[11][14]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在系统研发层面，国内学者已在多个领域取得成果。张鹏等人对基于知识图谱的智能问答技术进行了全面综述，指出了当前在复杂推理和知识更新方面的挑战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[12]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。何晓冬等人深入研究了对话系统中的自然语言理解技术，为解决用户意图识别和关键信息抽取问题提供了方案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[8]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。在应用层面，已有研究探索了智能机器人在医疗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[6]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、教育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[2]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、金融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[3]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等领域的落地。任牡丹等人对聊天机器人的评估研究进行了综述，为系统性能评价提供了参考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[4]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然而，现有国内法律领域的智能聊天机器人仍存在明显不足：首先，复杂法律问题的推理能力弱，面对多跳推理或需要结合法条与判例的综合问题时，准确率不高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[12]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；其次，系统架构灵活性差，多数系统采用单体架构，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设计不够规范，高并发场景下性能瓶颈明显，难以满足实际业务需求；最后，知识库的动态更新与维护机制不完善，导致系统知识陈旧，影响服务的准确性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[13]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。本课题将针对这些痛点，设计并实现一个高性能、可扩展、易集成的智能法律聊天机器人系统。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）任务概述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本课题旨在设计并实现一个基于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部署的智能领域聊天机器人，核心功能模块包括：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身份认证模块：支持管理员、法律从业者、普通用户三类角色的账号管理与权限控制，以适应不同用户的知识获取需求。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领域知识库模块：聚焦法律领域，整合国内现行法律法规、司法解释、典型判例等数据，构建结构化的法律知识图谱，并设计知识动态更新机制。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语义理解模块：利用先进的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NLP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技术，完成法律术语识别、用户问题意图分类与关键信息提取，有效解决法律语言专业性强、表述歧义多的难题。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服务模块：基于微服务架构设计标准化的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RESTful 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接口，支持问题提交、答案获取、知识库状态查询等功能，确保系统具备良好的兼容性和可扩展性，便于第三方平台集成。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辅助功能模块：包含服务监控、日志管理、数据安全防护等机制，保障系统稳定、安全、高效运行。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）关键技术及工具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核心技术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自然语言处理：采用预训练语言模型（如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BERT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的变体）结合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BiLSTM-CRF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或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TextCNN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等模型，实现高精度的法律实体识别与用户问题意图分类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[11][14]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知识图谱构建：通过本体建模、知识抽取（实体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关系抽取）、知识融合等技术，构建包含法律概念、条文、案例及其复杂关系的多层次知识网络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[7][12]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架构设计：基于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RESTful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原则构建微服务架构，结合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Redis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等缓存技术与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Docker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容器化部署，提升系统在高并发场景下的响应效率与可扩展性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[12][15]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开发工具与环境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开发环境：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Windows 11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操作系统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开发工具：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Visual Studio Code (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前后端开发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), Navicat (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数据库管理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)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技术框架：后端采用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Flask + Flask-RESTful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实现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开发，前端使用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Vue3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框架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数据库：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MySQL 8.0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存储结构化数据，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Neo4j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存储法律知识图谱</w:t>
            </w:r>
          </w:p>
          <w:p>
            <w:pPr>
              <w:widowControl w:val="0"/>
              <w:spacing w:before="156" w:after="156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>
            <w:pPr>
              <w:widowControl w:val="0"/>
              <w:spacing w:before="156" w:after="156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参考文献：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邢国忠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赖希然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社交机器人的意识形态传播及其启示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探索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2025, (02): 129-140.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王胜兰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钟燕兰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 AI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聊天机器人对学习者情绪体验和认知学习影响的元分析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黑龙江高教研究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2025, 43(02): 140-148.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[3]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孙乐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张冬寅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张宗明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金融领域智能投顾机器人关键技术研究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金融科技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2021, (3): 45-52.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[4]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任牡丹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耿骞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吴义熔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聊天机器人评估研究综述：指标、方法与应用领域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图书情报工作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2023, 67(22): 140-148.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[5]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匡文波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姜泽玮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聊天机器人用户的算法想象与人机关系：基于算法民间理论的进路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现代传播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(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中国传媒大学学报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), 2024, 46(09): 132-140.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[6]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张民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李茹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张虎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面向医疗领域的智能问答系统研究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计算机科学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2019, 46(11): 22-28.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[7]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刘知远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孙茂松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林衍凯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知识图谱研究进展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软件学报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2016, 27(6): 1324-1341.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[8]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何晓冬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程龙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陈博兴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对话系统中的自然语言理解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计算机学报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2019, 42(10): 2285-2308.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[9]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李航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信息检索导论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[M].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北京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: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人民邮电出版社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2012.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[10]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周明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靳志辉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黄民烈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自然语言处理中的深度学习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中国科学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: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信息科学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2018, 48(12): 1635-1659.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[11]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王海峰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吴华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何中军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大规模预训练模型在百度的实践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中国科学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: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信息科学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2022, 52(1): 1-26.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[12]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张鹏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王昊奋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刘欢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基于知识图谱的智能问答技术综述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软件学报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2021, 32(5): 1352-1377.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[13]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李涓子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王思睿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刘知远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知识图谱补全技术研究进展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软件学报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2020, 31(10): 2947-2969.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[14]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黄萱菁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张奇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吴伟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自然语言处理中的预训练模型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中国科学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: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信息科学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2021, 51(8): 1171-1192.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[15]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周涛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李茂西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张伟楠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推荐系统前沿进展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[J]. 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计算机学报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, 2020, 43(1): 1-36.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3"/>
          <w:jc w:val="center"/>
        </w:trPr>
        <w:tc>
          <w:tcPr>
            <w:gridSpan w:val="3"/>
            <w:tcBorders>
              <w:top w:val="single" w:sz="6" w:space="0" w:color="000000"/>
              <w:bottom w:val="single" w:sz="6" w:space="0" w:color="000000"/>
            </w:tcBorders>
            <w:noWrap w:val="0"/>
            <w:tcMar>
              <w:top w:w="58" w:type="dxa"/>
              <w:left w:w="108" w:type="dxa"/>
              <w:bottom w:w="58" w:type="dxa"/>
              <w:right w:w="108" w:type="dxa"/>
            </w:tcMar>
            <w:vAlign w:val="top"/>
            <w:hideMark/>
          </w:tcPr>
          <w:p>
            <w:pPr>
              <w:widowControl w:val="0"/>
              <w:spacing w:before="94" w:after="94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2. 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选题依据、主要研究内容、研究思路及方案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1) 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选题依据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当前，智能聊天机器人技术已在医疗、教育、金融等多个领域展现出巨大的应用潜力，有效提升了服务效率和用户体验。然而，在专业性强、知识体系复杂的法律服务领域，现有解决方案仍存在显著短板。普通民众面对专业法律术语和庞杂的法律条文，往往难以获取准确、易懂的法律知识，信息不对称问题突出；法律从业者在日常工作中，需要耗费大量时间在浩如烟海的法律法规和判例中进行检索与比对，重复性劳动占比高，创造性工作时间被严重挤压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与此同时，现有的法律问答系统多以独立应用或网页形式存在，功能上往往局限于简单的关键词匹配或法条检索，缺乏深度的语义理解与知识推理能力。更重要的是，这些系统普遍缺乏标准化的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接口，导致其成为一个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信息孤岛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，难以与政务服务平台、企业合规管理系统、律师事务所内部系统等第三方平台进行集成。这种封闭性严重限制了智能法律服务的应用场景和推广价值。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因此，本课题提出设计并实现一个基于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部署的智能领域聊天机器人，旨在解决上述核心痛点。通过构建一个开放、可集成的智能服务接口，本系统能够：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降低法律知识获取门槛：为普通民众提供一个便捷、普惠的法律咨询渠道，促进法律知识的普及与公平。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提升法律从业者工作效率：为律师、法务等专业人士提供一个智能辅助工具，快速获取相关法条、案例和法律意见，减少重复性劳动。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增强系统集成能力与扩展性：通过提供标准化的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RESTful 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，使本系统能够轻松嵌入各类业务平台，实现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一次开发，多处调用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，满足政务、企业等多场景的定制化需求。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综上所述，本课题不仅具有明确的现实需求和应用价值，也符合人工智能技术赋能传统行业的数字化转型趋势，具备良好的研究意义和实践前景。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2) 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主要研究内容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本课题旨在设计并实现一个基于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部署的智能领域聊天机器人系统。为确保系统功能完整、性能达标，主要研究内容包括以下四个方面：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）系统需求分析与架构设计首先，进行深入的需求调研，明确系统的功能需求与非功能需求。功能需求涵盖用户身份认证、自然语言法律问答、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接口调用、知识库管理等功能；非功能需求则重点关注系统响应时间（目标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≤1.5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秒）、并发处理能力（支持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≥100 QPS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）以及数据安全与隐私保护。在此基础上，完成系统的整体架构设计，绘制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UML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用例图、类图及数据库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ER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图，为后续开发提供清晰的技术蓝图。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）法律领域知识库的构建与维护知识库是智能聊天机器人的核心基础。本研究将聚焦法律领域，采集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国家法律法规数据库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的权威数据，并辅以公开的司法解释和典型判例作为补充。通过文本预处理、分词、命名实体识别（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NER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和关系抽取等自然语言处理技术，将非结构化的法律文本转化为结构化数据。进而，采用本体建模方法定义法律领域的概念体系，构建包含法律条文、法律概念、案例、当事人等实体及其相互关系的法律知识图谱，并存储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Neo4j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图数据库中。同时，设计知识图谱的定期更新与维护机制，确保系统知识的时效性。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）核心功能模块的研发与实现这是系统的技术核心，主要包括：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语义理解引擎：利用预训练语言模型（如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BERT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变体）对用户输入的自然语言问题进行向量化表示，结合法律领域专业词典，提升对法律术语的理解准确性。采用深度学习模型（如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BERT+TextCNN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）实现用户问题的意图分类（如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合同纠纷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劳动仲裁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），并提取关键信息（如涉案金额、时间、地点等），为精准检索奠定基础。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智能检索与推理引擎：基于构建的法律知识图谱，设计高效的查询算法。对于事实型问题，直接在知识图谱中进行实体链接与属性查询；对于复杂问题，则需结合多跳推理或规则引擎进行逻辑推导，生成更全面的答案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服务层开发：基于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Flask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框架构建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RESTful 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，设计用户认证、问题提交、答案获取、知识库状态查询等核心接口。实现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JWT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令牌验证、请求限流等安全控制机制，并利用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Redis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缓存高频查询结果，优化系统性能。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）系统测试、评估与优化系统开发完成后，需进行全面的测试与评估。构建包含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500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条标准法律问题和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300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条复杂法律问题的测试数据集，从准确率、召回率、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F1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值等维度评估问答性能，并通过压力测试评估系统的并发响应能力和稳定性。收集模拟用户或真实用户的反馈，对系统功能、交互体验和回答质量进行迭代优化，确保最终交付的系统满足设计要求并具备良好的实用性。</w:t>
            </w: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3) 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研究思路及方案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）研究思路本课题采用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理论指导、需求驱动、迭代开发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的总体研究思路。首先，通过文献调研，梳理国内外智能聊天机器人、知识图谱和自然语言处理领域的技术发展现状，明确可借鉴的技术路线与待解决的关键问题。其次，基于对法律服务场景的深入分析，进行系统性的需求分析，确定功能模块划分与性能指标。在开发阶段，采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后端优先、前后端分离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的策略，优先完成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接口和核心引擎的开发，确保服务的稳定性和可调用性；前端界面作为展示层，后续再进行对接。最后，通过多轮测试（功能测试、性能测试、用户体验测试）收集反馈，对系统进行持续的迭代优化，最终交付一个满足实际应用需求的智能领域聊天机器人系统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）研究方案为实现上述研究目标，本课题拟采取以下具体技术方案：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身份认证模块：设计支持账号密码登录和第三方（如微信扫码）登录的认证机制。采用基于角色的访问控制（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RBAC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）模型，为管理员、法律从业者、普通用户三类角色分配不同的操作权限，保障系统安全。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法律知识库构建方案：数据来源以国家法律法规数据库为主，辅以公开的司法判例。使用预训练语言模型（如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MacBERT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）结合法律领域词典，提升实体识别准确率。采用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BERT+BiLSTM+CRF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模型进行法律实体（如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法人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合同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违约金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）和关系（如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属于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适用于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）的联合抽取，将非结构化文本转化为结构化三元组，并导入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Neo4j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图数据库构建知识图谱。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语义理解模块方案：对用户输入的问题进行分词和向量化处理。基于预训练语言模型（如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BERT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）对问题进行编码，利用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BERT+TextCNN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深度学习模型完成问题意图分类任务，将问题映射到预定义的法律类别（如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婚姻家庭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知识产权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）。同时，结合规则模板和命名实体识别技术，提取问题中的关键信息（槽位），用于后续的精准查询。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服务模块方案：采用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Flask + Flask-RESTful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框架搭建轻量级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Web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服务，设计符合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RESTful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规范的核心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API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接口，包括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/api/v1/auth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（认证）、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/api/v1/ask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（提问）、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/api/v1/knowledge/status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（知识库状态）等。使用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JWT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JSON Web Token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）实现无状态的身份验证与授权，确保接口安全。引入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Redis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缓存高频问答结果，显著降低数据库查询压力，提升高并发下的响应速度。最终通过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Docker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容器化打包，实现系统的便捷部署与运维。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系统测试方案：制定详细的测试计划，涵盖单元测试、集成测试和系统测试。构建包含常见法律咨询问题和复杂推理问题的测试集，评估系统回答的准确性和完整性。使用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JMeter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</w:rPr>
              <w:t>等工具进行压力测试，验证系统在高负载下的稳定性与性能表现。根据测试结果和用户反馈，对模型参数、算法逻辑和系统架构进行针对性优化。</w:t>
            </w:r>
          </w:p>
          <w:p>
            <w:pPr>
              <w:widowControl w:val="0"/>
              <w:spacing w:before="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gridSpan w:val="3"/>
            <w:tcBorders>
              <w:top w:val="single" w:sz="6" w:space="0" w:color="000000"/>
            </w:tcBorders>
            <w:noWrap w:val="0"/>
            <w:tcMar>
              <w:top w:w="8" w:type="dxa"/>
              <w:left w:w="108" w:type="dxa"/>
              <w:bottom w:w="5" w:type="dxa"/>
              <w:right w:w="108" w:type="dxa"/>
            </w:tcMar>
            <w:vAlign w:val="top"/>
            <w:hideMark/>
          </w:tcPr>
          <w:p>
            <w:pPr>
              <w:pageBreakBefore/>
              <w:widowControl w:val="0"/>
              <w:spacing w:before="94" w:after="94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3. 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工作进度及具体安排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41" w:type="pct"/>
            <w:vMerge w:val="restart"/>
            <w:tcBorders>
              <w:bottom w:val="single" w:sz="6" w:space="0" w:color="000000"/>
            </w:tcBorders>
            <w:noWrap w:val="0"/>
            <w:tcMar>
              <w:top w:w="5" w:type="dxa"/>
              <w:left w:w="108" w:type="dxa"/>
              <w:bottom w:w="8" w:type="dxa"/>
              <w:right w:w="113" w:type="dxa"/>
            </w:tcMar>
            <w:vAlign w:val="center"/>
          </w:tcPr>
          <w:p>
            <w:pPr>
              <w:widowControl w:val="0"/>
              <w:spacing w:before="0" w:after="0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113" w:type="dxa"/>
              <w:bottom w:w="62" w:type="dxa"/>
              <w:right w:w="113" w:type="dxa"/>
            </w:tcMar>
            <w:vAlign w:val="top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起止时间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top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工作内容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上期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17-19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企业/教师出题，学生选题，下达课题任务书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下期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1-6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10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19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>前）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完成开题报告和开题答辩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下期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7-10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系统分析、设计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下期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11-20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系统实现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下期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周前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（期末前）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中期检查，提交中期报告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上期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1-4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毕业实习，提交毕业实习报告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上期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5-11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系统完善，论文撰写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上期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12-13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诚信检测，论文评审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上期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14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毕业答辩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vMerge/>
            <w:tcBorders>
              <w:bottom w:val="single" w:sz="6" w:space="0" w:color="000000"/>
            </w:tcBorders>
            <w:vAlign w:val="center"/>
            <w:hideMark/>
          </w:tcPr>
          <w:p>
            <w:pP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828" w:type="dxa"/>
            <w:noWrap w:val="0"/>
            <w:tcMar>
              <w:top w:w="62" w:type="dxa"/>
              <w:left w:w="62" w:type="dxa"/>
              <w:bottom w:w="203" w:type="dxa"/>
              <w:right w:w="62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上期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15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周</w:t>
            </w:r>
          </w:p>
        </w:tc>
        <w:tc>
          <w:tcPr>
            <w:tcW w:w="4954" w:type="dxa"/>
            <w:noWrap w:val="0"/>
            <w:tcMar>
              <w:top w:w="5" w:type="dxa"/>
              <w:left w:w="113" w:type="dxa"/>
              <w:bottom w:w="5" w:type="dxa"/>
              <w:right w:w="108" w:type="dxa"/>
            </w:tcMar>
            <w:vAlign w:val="center"/>
            <w:hideMark/>
          </w:tcPr>
          <w:p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资料整理、上传及审核</w:t>
            </w:r>
          </w:p>
        </w:tc>
      </w:tr>
      <w:tr>
        <w:tblPrEx>
          <w:tblW w:w="4900" w:type="pct"/>
          <w:jc w:val="center"/>
          <w:tblInd w:w="116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gridSpan w:val="3"/>
            <w:tcBorders>
              <w:top w:val="single" w:sz="6" w:space="0" w:color="000000"/>
            </w:tcBorders>
            <w:noWrap w:val="0"/>
            <w:tcMar>
              <w:top w:w="58" w:type="dxa"/>
              <w:left w:w="108" w:type="dxa"/>
              <w:bottom w:w="58" w:type="dxa"/>
              <w:right w:w="108" w:type="dxa"/>
            </w:tcMar>
            <w:vAlign w:val="top"/>
            <w:hideMark/>
          </w:tcPr>
          <w:p>
            <w:pPr>
              <w:widowControl w:val="0"/>
              <w:spacing w:before="94" w:after="94" w:line="400" w:lineRule="atLeast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 xml:space="preserve">4. </w:t>
            </w:r>
            <w:r>
              <w:rPr>
                <w:rFonts w:ascii="宋体" w:eastAsia="宋体" w:hAnsi="宋体" w:cs="宋体"/>
                <w:b/>
                <w:bCs/>
                <w:i w:val="0"/>
                <w:iCs w:val="0"/>
                <w:smallCaps w:val="0"/>
                <w:color w:val="000000"/>
              </w:rPr>
              <w:t>指导教师意见</w:t>
            </w:r>
          </w:p>
          <w:p>
            <w:pPr>
              <w:widowControl w:val="0"/>
              <w:spacing w:before="240" w:after="0" w:line="400" w:lineRule="atLeast"/>
              <w:ind w:firstLine="4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1.正文中参考文献的引入从[1]开始 2、缺少英文参考文献 3、研究方案最好具体化。</w:t>
            </w:r>
          </w:p>
          <w:p>
            <w:pPr>
              <w:widowControl w:val="0"/>
              <w:spacing w:before="240" w:after="0" w:line="400" w:lineRule="atLeast"/>
              <w:ind w:firstLine="3862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>
            <w:pPr>
              <w:widowControl w:val="0"/>
              <w:spacing w:before="240" w:after="0" w:line="400" w:lineRule="atLeast"/>
              <w:ind w:firstLine="3862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指导教师（签字）：</w:t>
            </w: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inline>
                  <wp:extent cx="685800" cy="2667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039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before="240" w:after="312" w:line="400" w:lineRule="atLeast"/>
              <w:ind w:firstLine="468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2025年10月19日</w:t>
            </w:r>
          </w:p>
        </w:tc>
      </w:tr>
    </w:tbl>
    <w:p w:rsidR="00A77B3E"/>
    <w:sectPr>
      <w:headerReference w:type="default" r:id="rId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widowControl w:val="0"/>
      <w:pBdr>
        <w:bottom w:val="single" w:sz="6" w:space="4" w:color="000000"/>
      </w:pBdr>
      <w:spacing w:before="0" w:after="156"/>
      <w:jc w:val="center"/>
      <w:rPr>
        <w:rFonts w:ascii="Times New Roman" w:eastAsia="Times New Roman" w:hAnsi="Times New Roman" w:cs="Times New Roman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湖南工业大学本科毕业论文（设计）过程管理资料</w:t>
    </w:r>
  </w:p>
  <w:p>
    <w:pPr>
      <w:widowControl w:val="0"/>
      <w:pBdr>
        <w:bottom w:val="none" w:sz="0" w:space="1" w:color="auto"/>
      </w:pBdr>
      <w:spacing w:before="0" w:after="0"/>
      <w:jc w:val="center"/>
      <w:rPr>
        <w:rFonts w:ascii="Times New Roman" w:eastAsia="Times New Roman" w:hAnsi="Times New Roman" w:cs="Times New Roman"/>
        <w:sz w:val="18"/>
        <w:szCs w:val="1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