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nos_table</w:t>
      </w:r>
    </w:p>
    <w:p>
      <w:pPr>
        <w:pStyle w:val="Author"/>
      </w:pPr>
      <w:r>
        <w:t xml:space="preserve">Lawrence</w:t>
      </w:r>
      <w:r>
        <w:t xml:space="preserve"> </w:t>
      </w:r>
      <w:r>
        <w:t xml:space="preserve">Y.</w:t>
      </w:r>
      <w:r>
        <w:t xml:space="preserve"> </w:t>
      </w:r>
      <w:r>
        <w:t xml:space="preserve">Tello</w:t>
      </w:r>
    </w:p>
    <w:p>
      <w:pPr>
        <w:pStyle w:val="Date"/>
      </w:pPr>
      <w:r>
        <w:t xml:space="preserve">2/24/2021</w:t>
      </w:r>
    </w:p>
    <w:p>
      <w:pPr>
        <w:pStyle w:val="TableCaption"/>
      </w:pPr>
      <w:r>
        <w:t xml:space="preserve">Table 2. Newcastle Ottawa Quality Assessment 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Cohort Rating / \nCase-control Rating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Barry et al (2018)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Binswanger et al (2013)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Coffey et al (2003)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Dirkzwager et al (2012)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Elonheimo et al (2017)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Haglund et al (2014)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Jones et al (2017)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Joukamaa (1998)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Lim et al (2012)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Lindqvist et al (2007)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Nieuwbeerta et al (2008)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Pratt et al (2006)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Pridemore (2014)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Putkonen et al (2001)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Rosen et al (2008)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Spittal et al (2014)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Selection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Representativeness of the exposed cohort / Is the case definition adequate?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Selection of the non exposed cohort / Representativeness of the cases</w:t>
            </w:r>
          </w:p>
        </w:tc>
        <w:tc>
          <w:tcPr>
            <w:tcBorders/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Ascertainment of exposure / Selection of the cases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Demonstration that outcome of interest was not present at the start of study / Definition of controls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Comparability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Comparability of cohorts on the basis of the design or analysis / Comparability of cases and controls on the basis of the design or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 / 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Assessment of outcome / Ascertainment of exposure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Was follow-up long enough for outcomes to occur / Same method of ascertainment for cases and controls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Adequacy of cohorts / Non-response rate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7302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1A98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EE0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rsidR="001426EE" w:rsidSect="00476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nos_table</dc:title>
  <dc:creator>Lawrence Y. Tello</dc:creator>
  <cp:keywords/>
  <dcterms:created xsi:type="dcterms:W3CDTF">2021-02-25T01:32:46Z</dcterms:created>
  <dcterms:modified xsi:type="dcterms:W3CDTF">2021-02-25T01:32:46Z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2/24/2021</vt:lpwstr>
  </property>
  <property fmtid="{D5CDD505-2E9C-101B-9397-08002B2CF9AE}" pid="3" name="output">
    <vt:lpwstr/>
  </property>
</Properties>
</file>