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C0860">
      <w:r>
        <w:drawing>
          <wp:inline distT="0" distB="0" distL="114300" distR="114300">
            <wp:extent cx="5273040" cy="19862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2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1创业所有还是主体为白底的表格替换为以上的配色，不用一模一样意思接近就行</w:t>
      </w:r>
    </w:p>
    <w:p w14:paraId="6D5D6B18">
      <w:pPr>
        <w:rPr>
          <w:rFonts w:hint="eastAsia" w:ascii="等线" w:hAnsi="等线" w:eastAsia="等线" w:cs="等线"/>
          <w:color w:val="25384B"/>
          <w:sz w:val="18"/>
          <w:lang w:eastAsia="zh-CN"/>
        </w:rPr>
      </w:pPr>
      <w:r>
        <w:rPr>
          <w:rFonts w:hint="eastAsia" w:ascii="等线" w:hAnsi="等线" w:eastAsia="等线" w:cs="等线"/>
          <w:color w:val="25384B"/>
          <w:sz w:val="18"/>
          <w:lang w:eastAsia="zh-CN"/>
        </w:rPr>
        <w:drawing>
          <wp:inline distT="0" distB="0" distL="114300" distR="114300">
            <wp:extent cx="5480050" cy="3080385"/>
            <wp:effectExtent l="0" t="0" r="6350" b="5715"/>
            <wp:docPr id="3" name="图片 3" descr="4163bbb5a2edbe9579766d5fe7f49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163bbb5a2edbe9579766d5fe7f49ab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57DD">
      <w:pPr>
        <w:numPr>
          <w:ilvl w:val="0"/>
          <w:numId w:val="1"/>
        </w:numPr>
        <w:rPr>
          <w:rFonts w:hint="eastAsia" w:ascii="等线" w:hAnsi="等线" w:eastAsia="等线" w:cs="等线"/>
          <w:color w:val="25384B"/>
          <w:sz w:val="18"/>
          <w:lang w:val="en-US" w:eastAsia="zh-CN"/>
        </w:rPr>
      </w:pPr>
      <w:r>
        <w:rPr>
          <w:rFonts w:hint="eastAsia" w:ascii="等线" w:hAnsi="等线" w:eastAsia="等线" w:cs="等线"/>
          <w:color w:val="25384B"/>
          <w:sz w:val="18"/>
          <w:lang w:val="en-US" w:eastAsia="zh-CN"/>
        </w:rPr>
        <w:t>上图插在下方第二段后面，大图形式展示</w:t>
      </w:r>
    </w:p>
    <w:p w14:paraId="3672C984">
      <w:pPr>
        <w:numPr>
          <w:ilvl w:val="0"/>
          <w:numId w:val="0"/>
        </w:numPr>
      </w:pPr>
      <w:r>
        <w:drawing>
          <wp:inline distT="0" distB="0" distL="114300" distR="114300">
            <wp:extent cx="5272405" cy="3499485"/>
            <wp:effectExtent l="0" t="0" r="1079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02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50DB244B">
      <w:pPr>
        <w:numPr>
          <w:ilvl w:val="0"/>
          <w:numId w:val="0"/>
        </w:numPr>
        <w:rPr>
          <w:rFonts w:hint="eastAsia" w:ascii="等线" w:hAnsi="等线" w:eastAsia="等线" w:cs="等线"/>
          <w:color w:val="25384B"/>
          <w:sz w:val="18"/>
        </w:rPr>
      </w:pPr>
      <w:r>
        <w:rPr>
          <w:rFonts w:hint="eastAsia" w:ascii="等线" w:hAnsi="等线" w:eastAsia="等线" w:cs="等线"/>
          <w:color w:val="25384B"/>
          <w:sz w:val="18"/>
        </w:rPr>
        <w:drawing>
          <wp:inline distT="0" distB="0" distL="114300" distR="114300">
            <wp:extent cx="5334000" cy="3550285"/>
            <wp:effectExtent l="0" t="0" r="0" b="5715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05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7B761">
      <w:pPr>
        <w:numPr>
          <w:ilvl w:val="0"/>
          <w:numId w:val="0"/>
        </w:numPr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eastAsia" w:ascii="等线" w:hAnsi="等线" w:eastAsia="等线" w:cs="等线"/>
          <w:color w:val="25384B"/>
          <w:sz w:val="18"/>
          <w:lang w:val="en-US" w:eastAsia="zh-CN"/>
        </w:rPr>
        <w:t>这个插在High-risk下面，第一段文字之前，大图展示</w:t>
      </w:r>
    </w:p>
    <w:p w14:paraId="0C0670FF">
      <w:pPr>
        <w:numPr>
          <w:ilvl w:val="0"/>
          <w:numId w:val="0"/>
        </w:numPr>
      </w:pPr>
      <w:r>
        <w:drawing>
          <wp:inline distT="0" distB="0" distL="114300" distR="114300">
            <wp:extent cx="5266055" cy="2373630"/>
            <wp:effectExtent l="0" t="0" r="4445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4014A">
      <w:pPr>
        <w:numPr>
          <w:ilvl w:val="0"/>
          <w:numId w:val="1"/>
        </w:numPr>
        <w:ind w:left="0" w:leftChars="0" w:firstLine="0" w:firstLineChars="0"/>
        <w:rPr>
          <w:rFonts w:hint="eastAsia" w:ascii="等线" w:hAnsi="等线" w:eastAsia="等线" w:cs="等线"/>
          <w:color w:val="25384B"/>
          <w:sz w:val="18"/>
          <w:lang w:eastAsia="zh-CN"/>
        </w:rPr>
      </w:pPr>
      <w:r>
        <w:rPr>
          <w:rFonts w:hint="eastAsia" w:ascii="等线" w:hAnsi="等线" w:eastAsia="等线" w:cs="等线"/>
          <w:b/>
          <w:bCs/>
          <w:color w:val="25384B"/>
          <w:sz w:val="18"/>
          <w:lang w:eastAsia="zh-CN"/>
        </w:rPr>
        <w:drawing>
          <wp:inline distT="0" distB="0" distL="114300" distR="114300">
            <wp:extent cx="5486400" cy="4114800"/>
            <wp:effectExtent l="0" t="0" r="0" b="0"/>
            <wp:docPr id="6" name="图片 6" descr="43a42e32e13e6cce75325d97b16505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3a42e32e13e6cce75325d97b165058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color w:val="25384B"/>
          <w:sz w:val="18"/>
          <w:lang w:eastAsia="zh-CN"/>
        </w:rPr>
        <w:drawing>
          <wp:inline distT="0" distB="0" distL="114300" distR="114300">
            <wp:extent cx="6583680" cy="4937760"/>
            <wp:effectExtent l="0" t="0" r="7620" b="2540"/>
            <wp:docPr id="5" name="图片 5" descr="3e6b9883961f73f43da52e269f40bb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e6b9883961f73f43da52e269f40bb6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338D">
      <w:pPr>
        <w:numPr>
          <w:ilvl w:val="0"/>
          <w:numId w:val="1"/>
        </w:numPr>
        <w:ind w:left="0" w:leftChars="0" w:firstLine="0" w:firstLine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eastAsia" w:ascii="等线" w:hAnsi="等线" w:eastAsia="等线" w:cs="等线"/>
          <w:color w:val="25384B"/>
          <w:sz w:val="18"/>
          <w:lang w:val="en-US" w:eastAsia="zh-CN"/>
        </w:rPr>
        <w:t>最后这两放在Reference上面，也就是第六部分最后</w:t>
      </w:r>
    </w:p>
    <w:p w14:paraId="73AF050C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drawing>
          <wp:inline distT="0" distB="0" distL="114300" distR="114300">
            <wp:extent cx="5270500" cy="4016375"/>
            <wp:effectExtent l="0" t="0" r="0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4438">
      <w:pPr>
        <w:numPr>
          <w:ilvl w:val="0"/>
          <w:numId w:val="1"/>
        </w:numPr>
        <w:ind w:left="0" w:leftChars="0" w:firstLine="0" w:firstLine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eastAsia" w:ascii="等线" w:hAnsi="等线" w:eastAsia="等线" w:cs="等线"/>
          <w:color w:val="25384B"/>
          <w:sz w:val="18"/>
          <w:lang w:val="en-US" w:eastAsia="zh-CN"/>
        </w:rPr>
        <w:t>Wiki右侧的目录拉动增加二级标题具体如下</w:t>
      </w:r>
    </w:p>
    <w:p w14:paraId="19C6CDED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Table of Contents</w:t>
      </w:r>
    </w:p>
    <w:p w14:paraId="0E6D9385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1. Executive Summary</w:t>
      </w:r>
    </w:p>
    <w:p w14:paraId="77DD95A5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5E580C45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1.1 What We Are Building</w:t>
      </w:r>
    </w:p>
    <w:p w14:paraId="3482794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586D9575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1.2 Unique Value Proposition (UVP)</w:t>
      </w:r>
    </w:p>
    <w:p w14:paraId="1C8DA4E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37C9BDCF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1.3 Our Entrepreneurial Logic</w:t>
      </w:r>
    </w:p>
    <w:p w14:paraId="3A0D9E96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23C37A94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1.4 Business Model Canvas</w:t>
      </w:r>
    </w:p>
    <w:p w14:paraId="02ED05EF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2A9ECF13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2. Potential Customers and Unmet Needs</w:t>
      </w:r>
    </w:p>
    <w:p w14:paraId="499C2A7F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4F042087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2.1 The Problem We See</w:t>
      </w:r>
    </w:p>
    <w:p w14:paraId="26B158EF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301BC3E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2.2 Our First Customers</w:t>
      </w:r>
    </w:p>
    <w:p w14:paraId="261DCD52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35D58356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2.3 Customer Discovery and IHP Evidence</w:t>
      </w:r>
    </w:p>
    <w:p w14:paraId="0745D8DB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7EC67DA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2.4 Six Categories of Unmet Need</w:t>
      </w:r>
    </w:p>
    <w:p w14:paraId="7EA2911C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1CF36016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2.5 PESTLE Analysis</w:t>
      </w:r>
    </w:p>
    <w:p w14:paraId="67E6A6C4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46ECD1C7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2.6 Market Sizing: TAM / SAM / SOM</w:t>
      </w:r>
    </w:p>
    <w:p w14:paraId="3AEEBE20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3BC13D36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3. Feasibility, Scalability and Inventivity</w:t>
      </w:r>
    </w:p>
    <w:p w14:paraId="39C02A3D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732F55B8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3.1 Scientific and Technical Feasibility</w:t>
      </w:r>
    </w:p>
    <w:p w14:paraId="7ED601B7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6BA67002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3.2 Minimum Viable Product (MVP)</w:t>
      </w:r>
    </w:p>
    <w:p w14:paraId="4797687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6A55C53C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3.3 Validation Strategy</w:t>
      </w:r>
    </w:p>
    <w:p w14:paraId="76D04280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04760503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3.4 Inventivity: What Sets Us Apart</w:t>
      </w:r>
    </w:p>
    <w:p w14:paraId="4C09359A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6A4FD26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3.5 Scalability</w:t>
      </w:r>
    </w:p>
    <w:p w14:paraId="00F68D3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72FB4344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3.6 SWOT and Strategic Choices</w:t>
      </w:r>
    </w:p>
    <w:p w14:paraId="4AC8C63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6ABEC39A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3.7 Protectability: Intellectual Property and an Open-Access Strategy</w:t>
      </w:r>
    </w:p>
    <w:p w14:paraId="4F5E7884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4A04911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4. Development Plans, Milestones, Resources and Risks</w:t>
      </w:r>
    </w:p>
    <w:p w14:paraId="72EC339F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09FE1EF7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4.1 Product Development Roadmap</w:t>
      </w:r>
    </w:p>
    <w:p w14:paraId="60E27522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3C89CD96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4.2 Registration and Clinical Pathway</w:t>
      </w:r>
    </w:p>
    <w:p w14:paraId="1B34F17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34C5111A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4.3 Resources Required</w:t>
      </w:r>
    </w:p>
    <w:p w14:paraId="25574C96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57867E2A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4.4 Risk Matrix and Mitigation</w:t>
      </w:r>
    </w:p>
    <w:p w14:paraId="26B04BFC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13FE4CF0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4.5 Why This Plan Is Realistic</w:t>
      </w:r>
    </w:p>
    <w:p w14:paraId="75D89754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06BBCDE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5. Required Capabilities, Funds and Stakeholders</w:t>
      </w:r>
    </w:p>
    <w:p w14:paraId="37D85CF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5C4A0290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5.1 Capability Map</w:t>
      </w:r>
    </w:p>
    <w:p w14:paraId="34A6048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7DDB8302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5.2 Team Strengths and Gaps</w:t>
      </w:r>
    </w:p>
    <w:p w14:paraId="2409B8EB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1DA31653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5.3 Key Stakeholders: Five Rings, Four Flows</w:t>
      </w:r>
    </w:p>
    <w:p w14:paraId="2708CE9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50069EBC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5.4 Financing Plan</w:t>
      </w:r>
    </w:p>
    <w:p w14:paraId="571E9D8A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710031B7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5.5 Business Model</w:t>
      </w:r>
    </w:p>
    <w:p w14:paraId="78893CE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4DB8250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5.6 Financial Forecast</w:t>
      </w:r>
    </w:p>
    <w:p w14:paraId="62DA88B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2B76CA6E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5.7 Return on Investment and Exit</w:t>
      </w:r>
    </w:p>
    <w:p w14:paraId="3F8E6B5E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5C980008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5.8 Data Grading and Model Limitations</w:t>
      </w:r>
    </w:p>
    <w:p w14:paraId="3FB12F13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38B92423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6. Long-term Impacts</w:t>
      </w:r>
    </w:p>
    <w:p w14:paraId="5A27720C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5C83BF3A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6.1 Long-Term Positive Impact</w:t>
      </w:r>
    </w:p>
    <w:p w14:paraId="7BC4E962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1F64CDC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6.2 Potential Negative Impact</w:t>
      </w:r>
    </w:p>
    <w:p w14:paraId="1F15471D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205AF6DE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6.3 Governance and Mitigation</w:t>
      </w:r>
    </w:p>
    <w:p w14:paraId="692E3EDD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75FA8EC8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6.4 Future Vision</w:t>
      </w:r>
    </w:p>
    <w:p w14:paraId="23FCB34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5473F1C9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7. References</w:t>
      </w:r>
    </w:p>
    <w:p w14:paraId="46C91A12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5FC2CBFD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7.1 Internal Project Materials</w:t>
      </w:r>
    </w:p>
    <w:p w14:paraId="449CF4D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25A64CB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7.2 Market, Industry, and Capital-Markets Data</w:t>
      </w:r>
    </w:p>
    <w:p w14:paraId="5808BFC8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</w:p>
    <w:p w14:paraId="185D4FCB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color w:val="25384B"/>
          <w:sz w:val="18"/>
          <w:lang w:val="en-US" w:eastAsia="zh-CN"/>
        </w:rPr>
      </w:pPr>
      <w:r>
        <w:rPr>
          <w:rFonts w:hint="default" w:ascii="等线" w:hAnsi="等线" w:eastAsia="等线" w:cs="等线"/>
          <w:color w:val="25384B"/>
          <w:sz w:val="18"/>
          <w:lang w:val="en-US" w:eastAsia="zh-CN"/>
        </w:rPr>
        <w:t>7.3 Table of Authoritative Sources</w:t>
      </w:r>
    </w:p>
    <w:p w14:paraId="6E6A6AC9">
      <w:pPr>
        <w:numPr>
          <w:ilvl w:val="0"/>
          <w:numId w:val="0"/>
        </w:numPr>
        <w:ind w:leftChars="0"/>
      </w:pPr>
      <w:r>
        <w:rPr>
          <w:rFonts w:hint="eastAsia" w:ascii="等线" w:hAnsi="等线" w:eastAsia="等线" w:cs="等线"/>
          <w:color w:val="25384B"/>
          <w:sz w:val="18"/>
          <w:lang w:val="en-US" w:eastAsia="zh-CN"/>
        </w:rPr>
        <w:t>6.</w:t>
      </w:r>
      <w:r>
        <w:drawing>
          <wp:inline distT="0" distB="0" distL="114300" distR="114300">
            <wp:extent cx="5262880" cy="2992755"/>
            <wp:effectExtent l="0" t="0" r="7620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0F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MVP下面第一段话完事插入下图</w:t>
      </w:r>
    </w:p>
    <w:p w14:paraId="119B1B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958465"/>
            <wp:effectExtent l="0" t="0" r="9525" b="635"/>
            <wp:docPr id="9" name="图片 9" descr="86b8a3883cd17d32f3ce0d13db7b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6b8a3883cd17d32f3ce0d13db7b658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19BB">
      <w:pPr>
        <w:numPr>
          <w:ilvl w:val="0"/>
          <w:numId w:val="1"/>
        </w:numPr>
        <w:ind w:left="0" w:leftChars="0" w:firstLine="0" w:firstLineChars="0"/>
      </w:pPr>
      <w:r>
        <w:drawing>
          <wp:inline distT="0" distB="0" distL="114300" distR="114300">
            <wp:extent cx="5264785" cy="1065530"/>
            <wp:effectExtent l="0" t="0" r="5715" b="127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59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上图最后一段后面插入下图</w:t>
      </w:r>
    </w:p>
    <w:p w14:paraId="1B0DBB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40300" cy="3194050"/>
            <wp:effectExtent l="0" t="0" r="0" b="6350"/>
            <wp:docPr id="11" name="图片 11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89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296285"/>
            <wp:effectExtent l="0" t="0" r="1905" b="5715"/>
            <wp:docPr id="12" name="图片 1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A9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两个图放在一起，拉动展示，可以做成小图，放在上图下一段文字右侧并列展示</w:t>
      </w:r>
    </w:p>
    <w:p w14:paraId="5BF6D0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C7AB80"/>
    <w:multiLevelType w:val="singleLevel"/>
    <w:tmpl w:val="35C7AB8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330C18"/>
    <w:rsid w:val="33527CC1"/>
    <w:rsid w:val="3F156020"/>
    <w:rsid w:val="69355C6A"/>
    <w:rsid w:val="7333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55</Words>
  <Characters>56</Characters>
  <Lines>0</Lines>
  <Paragraphs>0</Paragraphs>
  <TotalTime>26</TotalTime>
  <ScaleCrop>false</ScaleCrop>
  <LinksUpToDate>false</LinksUpToDate>
  <CharactersWithSpaces>56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2026-10-15T13:57:00Z</dcterms:created>
  <dc:creator>WPS_1641904351</dc:creator>
  <cp:lastModifiedBy>WPS_1641904351</cp:lastModifiedBy>
  <dcterms:modified xsi:type="dcterms:W3CDTF">2026-10-16T03:46:58Z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A61F359BA5144D5BB18BB7D13612B910_13</vt:lpwstr>
  </property>
  <property fmtid="{D5CDD505-2E9C-101B-9397-08002B2CF9AE}" pid="4" name="KSOTemplateDocerSaveRecord">
    <vt:lpwstr>eyJoZGlkIjoiNTc1ZjRjZDIxNGRhNThkNjJhNDRkNGUxNGQ5YTk0ZTciLCJ1c2VySWQiOiIxMzE3NTY3ODM2In0=</vt:lpwstr>
  </property>
</Properties>
</file>