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AB8752">
      <w:pPr>
        <w:spacing w:after="320"/>
        <w:jc w:val="both"/>
        <w:rPr>
          <w:rFonts w:hint="default" w:ascii="Times New Roman" w:hAnsi="Times New Roman" w:eastAsia="Aptos" w:cs="Times New Roman"/>
          <w:b/>
          <w:color w:val="59382B"/>
          <w:sz w:val="24"/>
          <w:szCs w:val="24"/>
        </w:rPr>
      </w:pPr>
      <w:r>
        <w:rPr>
          <w:rFonts w:hint="default" w:ascii="Times New Roman" w:hAnsi="Times New Roman" w:eastAsia="Aptos" w:cs="Times New Roman"/>
          <w:b/>
          <w:color w:val="59382B"/>
          <w:sz w:val="24"/>
          <w:szCs w:val="24"/>
        </w:rPr>
        <w:t>From Feedback to Shared Impact</w:t>
      </w:r>
    </w:p>
    <w:p w14:paraId="720E55B7">
      <w:pPr>
        <w:spacing w:after="320"/>
        <w:jc w:val="both"/>
        <w:rPr>
          <w:rFonts w:hint="default" w:ascii="Times New Roman" w:hAnsi="Times New Roman" w:eastAsia="Aptos" w:cs="Times New Roman"/>
          <w:b w:val="0"/>
          <w:color w:val="302D2A"/>
          <w:sz w:val="21"/>
        </w:rPr>
      </w:pPr>
      <w:r>
        <w:rPr>
          <w:rFonts w:hint="default" w:ascii="Times New Roman" w:hAnsi="Times New Roman" w:eastAsia="Aptos" w:cs="Times New Roman"/>
          <w:b w:val="0"/>
          <w:color w:val="302D2A"/>
          <w:sz w:val="21"/>
        </w:rPr>
        <w:t>We initially sought to bring respiratory pathogen testing beyond centralized laboratories to settings where timely preliminary screening is particularly needed, including nursing homes and kindergartens. Our Integrated Human Practices work showed that technical functionality alone is insufficient: the system must also address real-world needs and communicate its risks and responsibilities clearly.</w:t>
      </w:r>
    </w:p>
    <w:p w14:paraId="130EA509">
      <w:pPr>
        <w:keepLines/>
        <w:spacing w:after="200" w:line="300" w:lineRule="auto"/>
        <w:rPr>
          <w:rFonts w:hint="default" w:ascii="Times New Roman" w:hAnsi="Times New Roman" w:eastAsia="宋体" w:cs="Times New Roman"/>
          <w:b w:val="0"/>
          <w:color w:val="302D2A"/>
          <w:sz w:val="21"/>
          <w:highlight w:val="yellow"/>
          <w:lang w:val="en-US" w:eastAsia="zh-CN"/>
        </w:rPr>
      </w:pPr>
      <w:r>
        <w:rPr>
          <w:rFonts w:hint="default" w:ascii="Times New Roman" w:hAnsi="Times New Roman" w:eastAsia="宋体" w:cs="Times New Roman"/>
          <w:b w:val="0"/>
          <w:color w:val="302D2A"/>
          <w:sz w:val="21"/>
          <w:highlight w:val="yellow"/>
          <w:lang w:val="en-US" w:eastAsia="zh-CN"/>
        </w:rPr>
        <w:t>+ppt图第一张，抠图只要最外边框内的图，高清加图标</w:t>
      </w:r>
    </w:p>
    <w:p w14:paraId="77985480">
      <w:pPr>
        <w:keepLines/>
        <w:spacing w:after="200" w:line="300" w:lineRule="auto"/>
        <w:rPr>
          <w:rFonts w:hint="default" w:ascii="Times New Roman" w:hAnsi="Times New Roman" w:eastAsia="Aptos" w:cs="Times New Roman"/>
          <w:b/>
          <w:color w:val="59382B"/>
          <w:sz w:val="21"/>
        </w:rPr>
      </w:pPr>
      <w:r>
        <w:rPr>
          <w:rFonts w:hint="default" w:ascii="Times New Roman" w:hAnsi="Times New Roman" w:eastAsia="Aptos" w:cs="Times New Roman"/>
          <w:b/>
          <w:color w:val="59382B"/>
          <w:sz w:val="21"/>
        </w:rPr>
        <w:t>Three Interconnected Feedback Loop</w:t>
      </w:r>
    </w:p>
    <w:p w14:paraId="401CF4A2">
      <w:pPr>
        <w:keepLines/>
        <w:spacing w:after="200" w:line="300" w:lineRule="auto"/>
        <w:rPr>
          <w:rFonts w:hint="default" w:ascii="Times New Roman" w:hAnsi="Times New Roman" w:cs="Times New Roman"/>
        </w:rPr>
      </w:pPr>
      <w:r>
        <w:rPr>
          <w:rFonts w:hint="default" w:ascii="Times New Roman" w:hAnsi="Times New Roman" w:eastAsia="Aptos" w:cs="Times New Roman"/>
          <w:b w:val="0"/>
          <w:color w:val="302D2A"/>
          <w:sz w:val="21"/>
        </w:rPr>
        <w:t>The Project Development Loop spans LISTEN, DEFINE, BUILD, ENGINEER, and EXTEND. Evidence from 385 valid questionnaires and interviews with healthcare professionals and caregivers made portability, rapid results, and ease of use key design priorities. Discussions with disease-control and clinical specialists informed the selection of five detection targets—RSV, hMPV-B, SPN, BP, and HI—and clarified ByeGerm’s intended role in preliminary screening rather than definitive diagnosis. Application requirements guided our adoption of RPA–CRISPR/Cas12a, supported by DNA</w:t>
      </w:r>
      <w:r>
        <w:rPr>
          <w:rFonts w:hint="eastAsia" w:ascii="Times New Roman" w:hAnsi="Times New Roman" w:eastAsia="宋体" w:cs="Times New Roman"/>
          <w:b w:val="0"/>
          <w:color w:val="302D2A"/>
          <w:sz w:val="21"/>
          <w:lang w:val="en-US" w:eastAsia="zh-CN"/>
        </w:rPr>
        <w:t>-</w:t>
      </w:r>
      <w:r>
        <w:rPr>
          <w:rFonts w:hint="default" w:ascii="Times New Roman" w:hAnsi="Times New Roman" w:eastAsia="Aptos" w:cs="Times New Roman"/>
          <w:b w:val="0"/>
          <w:color w:val="302D2A"/>
          <w:sz w:val="21"/>
        </w:rPr>
        <w:t>BERT-assisted screening and experimental optimization. Stakeholder feedback, in turn, prompted the transition from a single-channel prototype to a multichannel device.</w:t>
      </w:r>
    </w:p>
    <w:p w14:paraId="7493D05B">
      <w:pPr>
        <w:keepLines/>
        <w:spacing w:after="200" w:line="300" w:lineRule="auto"/>
        <w:rPr>
          <w:rFonts w:hint="default" w:ascii="Times New Roman" w:hAnsi="Times New Roman" w:eastAsia="Aptos" w:cs="Times New Roman"/>
          <w:b/>
          <w:color w:val="59382B"/>
          <w:sz w:val="21"/>
        </w:rPr>
      </w:pPr>
      <w:r>
        <w:rPr>
          <w:rFonts w:hint="default" w:ascii="Times New Roman" w:hAnsi="Times New Roman" w:eastAsia="Aptos" w:cs="Times New Roman"/>
          <w:b/>
          <w:color w:val="59382B"/>
          <w:sz w:val="21"/>
        </w:rPr>
        <w:t>Cross-Team Collaboration</w:t>
      </w:r>
    </w:p>
    <w:p w14:paraId="75DE06C5">
      <w:pPr>
        <w:keepLines/>
        <w:spacing w:after="200" w:line="300" w:lineRule="auto"/>
        <w:rPr>
          <w:rFonts w:hint="default" w:ascii="Times New Roman" w:hAnsi="Times New Roman" w:cs="Times New Roman"/>
        </w:rPr>
      </w:pPr>
      <w:r>
        <w:rPr>
          <w:rFonts w:hint="default" w:ascii="Times New Roman" w:hAnsi="Times New Roman" w:eastAsia="Aptos" w:cs="Times New Roman"/>
          <w:b/>
          <w:color w:val="59382B"/>
          <w:sz w:val="21"/>
        </w:rPr>
        <w:t xml:space="preserve"> </w:t>
      </w:r>
      <w:r>
        <w:rPr>
          <w:rFonts w:hint="default" w:ascii="Times New Roman" w:hAnsi="Times New Roman" w:eastAsia="Aptos" w:cs="Times New Roman"/>
          <w:b w:val="0"/>
          <w:color w:val="302D2A"/>
          <w:sz w:val="21"/>
        </w:rPr>
        <w:t>IHP also supported development and iteration across the other project groups. During BUILD, it helped translate practical needs into tasks for Dry Lab’s computational screening and Wet Lab’s evaluation of reaction performance and fluorescence signals. During ENGINEER, IHP informed joint Hardware and Software refinements to temperature control, signal analysis, result interfaces, and user interaction. These relationships form continuous feedback cycles rather than a fixed, linear workflow. Societal feedback generates design requirements; experimental and engineering findings, in turn, return to IHP and guide the next round of stakeholder consultation.</w:t>
      </w:r>
    </w:p>
    <w:p w14:paraId="7F3A21F0">
      <w:pPr>
        <w:keepLines/>
        <w:spacing w:after="200" w:line="300" w:lineRule="auto"/>
        <w:rPr>
          <w:rFonts w:hint="default" w:ascii="Times New Roman" w:hAnsi="Times New Roman" w:eastAsia="Aptos" w:cs="Times New Roman"/>
          <w:b/>
          <w:color w:val="59382B"/>
          <w:sz w:val="21"/>
        </w:rPr>
      </w:pPr>
      <w:r>
        <w:rPr>
          <w:rFonts w:hint="default" w:ascii="Times New Roman" w:hAnsi="Times New Roman" w:eastAsia="Aptos" w:cs="Times New Roman"/>
          <w:b/>
          <w:color w:val="59382B"/>
          <w:sz w:val="21"/>
        </w:rPr>
        <w:t>Participation and Knowledge Sharing</w:t>
      </w:r>
    </w:p>
    <w:p w14:paraId="22A466EC">
      <w:pPr>
        <w:keepLines/>
        <w:spacing w:after="200" w:line="300" w:lineRule="auto"/>
        <w:rPr>
          <w:rFonts w:hint="default" w:ascii="Times New Roman" w:hAnsi="Times New Roman" w:eastAsia="Noto Sans CJK SC" w:cs="Times New Roman"/>
          <w:b w:val="0"/>
          <w:i w:val="0"/>
          <w:color w:val="342F2B"/>
          <w:sz w:val="20"/>
        </w:rPr>
      </w:pPr>
      <w:r>
        <w:rPr>
          <w:rFonts w:hint="default" w:ascii="Times New Roman" w:hAnsi="Times New Roman" w:eastAsia="Aptos" w:cs="Times New Roman"/>
          <w:b/>
          <w:color w:val="59382B"/>
          <w:sz w:val="21"/>
        </w:rPr>
        <w:t xml:space="preserve"> </w:t>
      </w:r>
      <w:r>
        <w:rPr>
          <w:rFonts w:hint="default" w:ascii="Times New Roman" w:hAnsi="Times New Roman" w:eastAsia="Aptos" w:cs="Times New Roman"/>
          <w:b w:val="0"/>
          <w:color w:val="302D2A"/>
          <w:sz w:val="21"/>
        </w:rPr>
        <w:t>The Inclusive Engagement Loop follows ACCESS → PARTICIPATE → LISTEN → ADAPT, enabling children, older adults, and people with visual impairments to express their needs and informing age-appropriate explanations and accessible interactions. The Collective Growth Loop follows EXCHANGE → COCREATE → DOCUMENT → SHARE, translating expert dialogue and inter-team collaboration into reusable handbooks and practical experience. Together, these loops bring user perspectives back into design, introduce external expertise into the project, and extend project experience to the wider community.</w:t>
      </w:r>
    </w:p>
    <w:p w14:paraId="285EEDB5">
      <w:pPr>
        <w:keepNext/>
        <w:keepLines/>
        <w:spacing w:after="140" w:line="300" w:lineRule="auto"/>
        <w:rPr>
          <w:rFonts w:hint="default" w:ascii="Times New Roman" w:hAnsi="Times New Roman" w:eastAsia="Aptos" w:cs="Times New Roman"/>
          <w:b/>
          <w:color w:val="59382B"/>
          <w:sz w:val="21"/>
        </w:rPr>
      </w:pPr>
      <w:r>
        <w:rPr>
          <w:rFonts w:hint="default" w:ascii="Times New Roman" w:hAnsi="Times New Roman" w:eastAsia="Aptos" w:cs="Times New Roman"/>
          <w:b/>
          <w:color w:val="59382B"/>
          <w:sz w:val="21"/>
        </w:rPr>
        <w:t>Answering Our Opening Questions</w:t>
      </w:r>
    </w:p>
    <w:p w14:paraId="1868F999">
      <w:pPr>
        <w:keepNext/>
        <w:keepLines/>
        <w:spacing w:after="140" w:line="300" w:lineRule="auto"/>
        <w:rPr>
          <w:rFonts w:hint="default" w:ascii="Times New Roman" w:hAnsi="Times New Roman" w:eastAsia="Aptos" w:cs="Times New Roman"/>
          <w:b w:val="0"/>
          <w:color w:val="302D2A"/>
          <w:sz w:val="21"/>
        </w:rPr>
      </w:pPr>
      <w:r>
        <w:rPr>
          <w:rFonts w:hint="default" w:ascii="Times New Roman" w:hAnsi="Times New Roman" w:eastAsia="Aptos" w:cs="Times New Roman"/>
          <w:b/>
          <w:color w:val="59382B"/>
          <w:sz w:val="21"/>
        </w:rPr>
        <w:t xml:space="preserve"> </w:t>
      </w:r>
      <w:r>
        <w:rPr>
          <w:rFonts w:hint="default" w:ascii="Times New Roman" w:hAnsi="Times New Roman" w:eastAsia="Aptos" w:cs="Times New Roman"/>
          <w:b w:val="0"/>
          <w:color w:val="302D2A"/>
          <w:sz w:val="21"/>
        </w:rPr>
        <w:t>Returning to the five questions posed at the outset, we can now offer clear answers grounded in our work.</w:t>
      </w:r>
    </w:p>
    <w:p w14:paraId="3B29E430">
      <w:pPr>
        <w:keepNext/>
        <w:keepLines/>
        <w:spacing w:after="140" w:line="300" w:lineRule="auto"/>
        <w:rPr>
          <w:rFonts w:hint="default" w:ascii="Times New Roman" w:hAnsi="Times New Roman" w:cs="Times New Roman"/>
        </w:rPr>
      </w:pPr>
      <w:r>
        <w:rPr>
          <w:rFonts w:hint="eastAsia" w:ascii="Times New Roman" w:hAnsi="Times New Roman" w:eastAsia="宋体" w:cs="Times New Roman"/>
          <w:b w:val="0"/>
          <w:color w:val="302D2A"/>
          <w:sz w:val="21"/>
          <w:highlight w:val="yellow"/>
          <w:lang w:val="en-US" w:eastAsia="zh-CN"/>
        </w:rPr>
        <w:t>+图2，抠图只要五个框箭头和图标及图标内容。</w:t>
      </w:r>
    </w:p>
    <w:p w14:paraId="430B62E3">
      <w:pPr>
        <w:keepLines/>
        <w:spacing w:after="200" w:line="300" w:lineRule="auto"/>
        <w:rPr>
          <w:rFonts w:hint="default" w:ascii="Times New Roman" w:hAnsi="Times New Roman" w:eastAsia="Aptos" w:cs="Times New Roman"/>
          <w:b/>
          <w:color w:val="59382B"/>
          <w:sz w:val="21"/>
        </w:rPr>
      </w:pPr>
      <w:r>
        <w:rPr>
          <w:rFonts w:hint="default" w:ascii="Times New Roman" w:hAnsi="Times New Roman" w:eastAsia="Aptos" w:cs="Times New Roman"/>
          <w:b/>
          <w:color w:val="59382B"/>
          <w:sz w:val="21"/>
        </w:rPr>
        <w:t>Reflection and Outlook</w:t>
      </w:r>
    </w:p>
    <w:p w14:paraId="0648F2B6">
      <w:pPr>
        <w:pStyle w:val="5"/>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Reflection and Outlook</w:t>
      </w:r>
    </w:p>
    <w:p w14:paraId="2D3496DD">
      <w:pPr>
        <w:pStyle w:val="30"/>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Human Practices has guided ByeGerm's continuous development. Through stakeholder interviews, 585 valid survey responses, and inclusive engagement activities, we gained insights into the real-world needs and ethical concerns of diverse groups. Their feedback informed pathogen selection, device design, and user experience optimization. Across five stages, a continuous feedback loop and ethical framework embedded social responsibility into project design and implementation. We also synthesized these experiences into a shareable practical framework supporting iGEM's Human Practices standards. Collectively, these efforts demonstrate excellence and provide strong support for meeting the three special judging requirements. Moving forward, we will continue validating and refining ByeGerm, including its long-term stability, clinical applicability, and data governance, while documenting our decisions and evidence to inform future iGEM teams.</w:t>
      </w:r>
    </w:p>
    <w:p w14:paraId="004B67DB">
      <w:pPr>
        <w:keepLines/>
        <w:spacing w:after="200" w:line="300" w:lineRule="auto"/>
        <w:rPr>
          <w:rFonts w:hint="default" w:ascii="Times New Roman" w:hAnsi="Times New Roman" w:cs="Times New Roman"/>
        </w:rPr>
      </w:pPr>
      <w:bookmarkStart w:id="0" w:name="_GoBack"/>
      <w:bookmarkEnd w:id="0"/>
    </w:p>
    <w:sectPr>
      <w:footerReference r:id="rId5" w:type="default"/>
      <w:pgSz w:w="12240" w:h="15840"/>
      <w:pgMar w:top="980" w:right="1140" w:bottom="920" w:left="11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Aptos">
    <w:altName w:val="Segoe UI"/>
    <w:panose1 w:val="00000000000000000000"/>
    <w:charset w:val="00"/>
    <w:family w:val="auto"/>
    <w:pitch w:val="default"/>
    <w:sig w:usb0="00000000" w:usb1="00000000" w:usb2="00000000" w:usb3="00000000" w:csb0="00000000" w:csb1="00000000"/>
  </w:font>
  <w:font w:name="Noto Sans CJK S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ＭＳ 明朝">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513C78">
    <w:pPr>
      <w:pStyle w:val="24"/>
      <w:jc w:val="right"/>
    </w:pPr>
    <w:r>
      <w:rPr>
        <w:rFonts w:ascii="Noto Sans CJK SC" w:hAnsi="Noto Sans CJK SC" w:eastAsia="Noto Sans CJK SC"/>
        <w:b w:val="0"/>
        <w:i w:val="0"/>
        <w:color w:val="665950"/>
        <w:sz w:val="16"/>
      </w:rPr>
      <w:t>BYEGERM  ·  IHP</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D2867FF"/>
    <w:rsid w:val="42DF483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7"/>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5"/>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7"/>
    <w:unhideWhenUsed/>
    <w:qFormat/>
    <w:uiPriority w:val="99"/>
    <w:pPr>
      <w:tabs>
        <w:tab w:val="center" w:pos="4680"/>
        <w:tab w:val="right" w:pos="9360"/>
      </w:tabs>
      <w:spacing w:after="0" w:line="240" w:lineRule="auto"/>
    </w:pPr>
  </w:style>
  <w:style w:type="paragraph" w:styleId="25">
    <w:name w:val="header"/>
    <w:basedOn w:val="1"/>
    <w:link w:val="136"/>
    <w:unhideWhenUsed/>
    <w:qFormat/>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6"/>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5"/>
    <w:qFormat/>
    <w:uiPriority w:val="99"/>
  </w:style>
  <w:style w:type="character" w:customStyle="1" w:styleId="137">
    <w:name w:val="Footer Char"/>
    <w:basedOn w:val="133"/>
    <w:link w:val="24"/>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19"/>
    <w:qFormat/>
    <w:uiPriority w:val="99"/>
  </w:style>
  <w:style w:type="character" w:customStyle="1" w:styleId="146">
    <w:name w:val="Body Text 2 Char"/>
    <w:basedOn w:val="133"/>
    <w:link w:val="28"/>
    <w:qFormat/>
    <w:uiPriority w:val="99"/>
  </w:style>
  <w:style w:type="character" w:customStyle="1" w:styleId="147">
    <w:name w:val="Body Text 3 Char"/>
    <w:basedOn w:val="133"/>
    <w:link w:val="17"/>
    <w:qFormat/>
    <w:uiPriority w:val="99"/>
    <w:rPr>
      <w:sz w:val="16"/>
      <w:szCs w:val="16"/>
    </w:rPr>
  </w:style>
  <w:style w:type="character" w:customStyle="1" w:styleId="148">
    <w:name w:val="Macro Text Char"/>
    <w:basedOn w:val="133"/>
    <w:link w:val="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qFormat/>
    <w:uiPriority w:val="29"/>
    <w:rPr>
      <w:i/>
      <w:iCs/>
      <w:color w:val="000000" w:themeColor="text1"/>
      <w14:textFill>
        <w14:solidFill>
          <w14:schemeClr w14:val="tx1"/>
        </w14:solidFill>
      </w14:textFill>
    </w:rPr>
  </w:style>
  <w:style w:type="character" w:customStyle="1" w:styleId="151">
    <w:name w:val="Heading 4 Char"/>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qFormat/>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610</Words>
  <Characters>3959</Characters>
  <Lines>0</Lines>
  <Paragraphs>0</Paragraphs>
  <TotalTime>99</TotalTime>
  <ScaleCrop>false</ScaleCrop>
  <LinksUpToDate>false</LinksUpToDate>
  <CharactersWithSpaces>4554</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ByeGerm</dc:creator>
  <dc:description>generated by python-docx</dc:description>
  <cp:lastModifiedBy>杨雨佳</cp:lastModifiedBy>
  <dcterms:modified xsi:type="dcterms:W3CDTF">2026-10-17T12:32:24Z</dcterms:modified>
  <dc:subject>English translation of ByeGerm IHP Summary and Reflection</dc:subject>
  <dc:title>Summary &amp; Reflection | From Feedback to Shared Impact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eyJoZGlkIjoiYjZlZWYyZGExMTY0MmZjOWYwNWZmNGEyOWM3MzU1NmQiLCJ1c2VySWQiOiIxMjA3NTc2Nzk2In0=</vt:lpwstr>
  </property>
  <property fmtid="{D5CDD505-2E9C-101B-9397-08002B2CF9AE}" pid="3" name="KSOProductBuildVer">
    <vt:lpwstr>2052-12.1.0.28505</vt:lpwstr>
  </property>
  <property fmtid="{D5CDD505-2E9C-101B-9397-08002B2CF9AE}" pid="4" name="ICV">
    <vt:lpwstr>0A83FD69D90243A98E54E95424A0E727_13</vt:lpwstr>
  </property>
</Properties>
</file>