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006F21">
      <w:pPr>
        <w:keepNext/>
        <w:keepLines/>
        <w:widowControl/>
        <w:spacing w:before="120" w:after="80"/>
        <w:rPr>
          <w:rFonts w:hint="default" w:eastAsia="宋体"/>
          <w:lang w:val="en-US" w:eastAsia="zh-CN"/>
        </w:rPr>
      </w:pPr>
      <w:r>
        <w:rPr>
          <w:rFonts w:hint="eastAsia" w:ascii="Aptos Display" w:hAnsi="Aptos Display" w:eastAsia="宋体"/>
          <w:b/>
          <w:color w:val="4A3428"/>
          <w:sz w:val="23"/>
          <w:lang w:val="en-US" w:eastAsia="zh-CN"/>
        </w:rPr>
        <w:t>点击</w:t>
      </w:r>
      <w:r>
        <w:rPr>
          <w:rFonts w:ascii="Aptos Display" w:hAnsi="Aptos Display"/>
          <w:b/>
          <w:color w:val="4A3428"/>
          <w:sz w:val="23"/>
        </w:rPr>
        <w:t>Dry Lab</w:t>
      </w:r>
      <w:r>
        <w:rPr>
          <w:rFonts w:hint="eastAsia" w:ascii="Aptos Display" w:hAnsi="Aptos Display" w:eastAsia="宋体"/>
          <w:b/>
          <w:color w:val="4A3428"/>
          <w:sz w:val="23"/>
          <w:lang w:val="en-US" w:eastAsia="zh-CN"/>
        </w:rPr>
        <w:t>图片显示表格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57"/>
        <w:gridCol w:w="5981"/>
      </w:tblGrid>
      <w:tr w14:paraId="308BE2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657" w:type="dxa"/>
            <w:tcBorders>
              <w:top w:val="single" w:color="84583D" w:sz="16" w:space="0"/>
              <w:left w:val="single" w:color="84583D" w:sz="16" w:space="0"/>
              <w:bottom w:val="single" w:color="D7C0AA" w:sz="4" w:space="0"/>
              <w:right w:val="single" w:color="D7C0AA" w:sz="4" w:space="0"/>
            </w:tcBorders>
            <w:shd w:val="clear" w:color="auto" w:fill="F4E9DD"/>
            <w:tcMar>
              <w:top w:w="65" w:type="dxa"/>
              <w:left w:w="145" w:type="dxa"/>
              <w:bottom w:w="65" w:type="dxa"/>
              <w:right w:w="145" w:type="dxa"/>
            </w:tcMar>
            <w:vAlign w:val="center"/>
          </w:tcPr>
          <w:p w14:paraId="088F887C">
            <w:pPr>
              <w:spacing w:before="0" w:after="0" w:line="278" w:lineRule="auto"/>
              <w:jc w:val="left"/>
            </w:pPr>
            <w:r>
              <w:rPr>
                <w:rFonts w:ascii="Aptos" w:hAnsi="Aptos"/>
                <w:b/>
                <w:color w:val="84583D"/>
                <w:sz w:val="18"/>
              </w:rPr>
              <w:t>Problem</w:t>
            </w:r>
          </w:p>
        </w:tc>
        <w:tc>
          <w:tcPr>
            <w:tcW w:w="5981" w:type="dxa"/>
            <w:tcBorders>
              <w:top w:val="single" w:color="84583D" w:sz="16" w:space="0"/>
              <w:left w:val="single" w:color="D7C0AA" w:sz="4" w:space="0"/>
              <w:bottom w:val="single" w:color="D7C0AA" w:sz="4" w:space="0"/>
              <w:right w:val="single" w:color="84583D" w:sz="16" w:space="0"/>
            </w:tcBorders>
            <w:shd w:val="clear" w:color="auto" w:fill="F4E9DD"/>
            <w:tcMar>
              <w:top w:w="65" w:type="dxa"/>
              <w:left w:w="145" w:type="dxa"/>
              <w:bottom w:w="65" w:type="dxa"/>
              <w:right w:w="145" w:type="dxa"/>
            </w:tcMar>
            <w:vAlign w:val="center"/>
          </w:tcPr>
          <w:p w14:paraId="64E97C27">
            <w:pPr>
              <w:spacing w:before="0" w:after="0" w:line="278" w:lineRule="auto"/>
              <w:jc w:val="left"/>
            </w:pPr>
            <w:r>
              <w:rPr>
                <w:rFonts w:ascii="Aptos" w:hAnsi="Aptos"/>
                <w:b/>
                <w:color w:val="84583D"/>
                <w:sz w:val="18"/>
              </w:rPr>
              <w:t>HP Feedback  →  Improvement</w:t>
            </w:r>
          </w:p>
        </w:tc>
      </w:tr>
      <w:tr w14:paraId="3BF9C4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57" w:type="dxa"/>
            <w:tcBorders>
              <w:top w:val="single" w:color="D7C0AA" w:sz="4" w:space="0"/>
              <w:left w:val="single" w:color="84583D" w:sz="16" w:space="0"/>
              <w:bottom w:val="single" w:color="D7C0AA" w:sz="4" w:space="0"/>
              <w:right w:val="single" w:color="D7C0AA" w:sz="4" w:space="0"/>
            </w:tcBorders>
            <w:shd w:val="clear" w:color="auto" w:fill="FFFDFC"/>
            <w:tcMar>
              <w:top w:w="72" w:type="dxa"/>
              <w:left w:w="145" w:type="dxa"/>
              <w:bottom w:w="72" w:type="dxa"/>
              <w:right w:w="145" w:type="dxa"/>
            </w:tcMar>
            <w:vAlign w:val="center"/>
          </w:tcPr>
          <w:p w14:paraId="0EE7F3FF">
            <w:pPr>
              <w:spacing w:before="0" w:after="0" w:line="278" w:lineRule="auto"/>
              <w:jc w:val="left"/>
            </w:pPr>
            <w:r>
              <w:rPr>
                <w:rFonts w:ascii="Aptos" w:hAnsi="Aptos"/>
                <w:b w:val="0"/>
                <w:color w:val="4A3428"/>
                <w:sz w:val="18"/>
              </w:rPr>
              <w:t>Inefficient sequence screening and unstable low-copy signals</w:t>
            </w:r>
          </w:p>
        </w:tc>
        <w:tc>
          <w:tcPr>
            <w:tcW w:w="5981" w:type="dxa"/>
            <w:tcBorders>
              <w:top w:val="single" w:color="D7C0AA" w:sz="4" w:space="0"/>
              <w:left w:val="single" w:color="D7C0AA" w:sz="4" w:space="0"/>
              <w:bottom w:val="single" w:color="D7C0AA" w:sz="4" w:space="0"/>
              <w:right w:val="single" w:color="84583D" w:sz="16" w:space="0"/>
            </w:tcBorders>
            <w:shd w:val="clear" w:color="auto" w:fill="FFFDFC"/>
            <w:tcMar>
              <w:top w:w="72" w:type="dxa"/>
              <w:left w:w="145" w:type="dxa"/>
              <w:bottom w:w="72" w:type="dxa"/>
              <w:right w:w="145" w:type="dxa"/>
            </w:tcMar>
            <w:vAlign w:val="center"/>
          </w:tcPr>
          <w:p w14:paraId="4C6E9953">
            <w:pPr>
              <w:spacing w:before="0" w:after="0" w:line="278" w:lineRule="auto"/>
              <w:jc w:val="left"/>
            </w:pPr>
            <w:r>
              <w:rPr>
                <w:rFonts w:ascii="Aptos" w:hAnsi="Aptos"/>
                <w:b w:val="0"/>
                <w:color w:val="4A3428"/>
                <w:sz w:val="18"/>
              </w:rPr>
              <w:t>Prof. Tianyi Zhao’s advice → Introduced DNABERT-6 for systematic candidate-sequence screening.</w:t>
            </w:r>
          </w:p>
        </w:tc>
      </w:tr>
      <w:tr w14:paraId="5043C2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57" w:type="dxa"/>
            <w:tcBorders>
              <w:top w:val="single" w:color="D7C0AA" w:sz="4" w:space="0"/>
              <w:left w:val="single" w:color="84583D" w:sz="16" w:space="0"/>
              <w:bottom w:val="single" w:color="84583D" w:sz="16" w:space="0"/>
              <w:right w:val="single" w:color="D7C0AA" w:sz="4" w:space="0"/>
            </w:tcBorders>
            <w:shd w:val="clear" w:color="auto" w:fill="FFFDFC"/>
            <w:tcMar>
              <w:top w:w="72" w:type="dxa"/>
              <w:left w:w="145" w:type="dxa"/>
              <w:bottom w:w="72" w:type="dxa"/>
              <w:right w:w="145" w:type="dxa"/>
            </w:tcMar>
            <w:vAlign w:val="center"/>
          </w:tcPr>
          <w:p w14:paraId="759BEBFA">
            <w:pPr>
              <w:spacing w:before="0" w:after="0" w:line="278" w:lineRule="auto"/>
              <w:jc w:val="left"/>
            </w:pPr>
            <w:r>
              <w:rPr>
                <w:rFonts w:ascii="Aptos" w:hAnsi="Aptos"/>
                <w:b w:val="0"/>
                <w:color w:val="4A3428"/>
                <w:sz w:val="18"/>
              </w:rPr>
              <w:t>Uncertain stability of crRNA–Cas12a binding</w:t>
            </w:r>
          </w:p>
        </w:tc>
        <w:tc>
          <w:tcPr>
            <w:tcW w:w="5981" w:type="dxa"/>
            <w:tcBorders>
              <w:top w:val="single" w:color="D7C0AA" w:sz="4" w:space="0"/>
              <w:left w:val="single" w:color="D7C0AA" w:sz="4" w:space="0"/>
              <w:bottom w:val="single" w:color="84583D" w:sz="16" w:space="0"/>
              <w:right w:val="single" w:color="84583D" w:sz="16" w:space="0"/>
            </w:tcBorders>
            <w:shd w:val="clear" w:color="auto" w:fill="FFFDFC"/>
            <w:tcMar>
              <w:top w:w="72" w:type="dxa"/>
              <w:left w:w="145" w:type="dxa"/>
              <w:bottom w:w="72" w:type="dxa"/>
              <w:right w:w="145" w:type="dxa"/>
            </w:tcMar>
            <w:vAlign w:val="center"/>
          </w:tcPr>
          <w:p w14:paraId="6D2DB5FA">
            <w:pPr>
              <w:spacing w:before="0" w:after="0" w:line="278" w:lineRule="auto"/>
              <w:jc w:val="left"/>
            </w:pPr>
            <w:r>
              <w:rPr>
                <w:rFonts w:ascii="Aptos" w:hAnsi="Aptos"/>
                <w:b w:val="0"/>
                <w:color w:val="4A3428"/>
                <w:sz w:val="18"/>
              </w:rPr>
              <w:t>Prof. Xingfang Li’s advice → Added molecular dynamics simulations to prioritize promising candidates for wet-lab validation.</w:t>
            </w:r>
          </w:p>
        </w:tc>
      </w:tr>
    </w:tbl>
    <w:p w14:paraId="54C7CDF7">
      <w:pPr>
        <w:keepLines/>
        <w:widowControl/>
        <w:spacing w:before="0" w:after="0" w:line="120" w:lineRule="auto"/>
      </w:pPr>
      <w:r>
        <w:rPr>
          <w:sz w:val="4"/>
        </w:rPr>
        <w:t xml:space="preserve"> </w:t>
      </w:r>
    </w:p>
    <w:p w14:paraId="583208F8">
      <w:pPr>
        <w:keepNext/>
        <w:keepLines/>
        <w:widowControl/>
        <w:spacing w:before="120" w:after="80"/>
        <w:rPr>
          <w:rFonts w:hint="default" w:eastAsia="宋体"/>
          <w:lang w:val="en-US" w:eastAsia="zh-CN"/>
        </w:rPr>
      </w:pPr>
      <w:r>
        <w:rPr>
          <w:rFonts w:hint="eastAsia" w:ascii="Aptos Display" w:hAnsi="Aptos Display" w:eastAsia="宋体"/>
          <w:b/>
          <w:color w:val="4A3428"/>
          <w:sz w:val="23"/>
          <w:lang w:val="en-US" w:eastAsia="zh-CN"/>
        </w:rPr>
        <w:t>点击</w:t>
      </w:r>
      <w:r>
        <w:rPr>
          <w:rFonts w:ascii="Aptos Display" w:hAnsi="Aptos Display"/>
          <w:b/>
          <w:color w:val="4A3428"/>
          <w:sz w:val="23"/>
        </w:rPr>
        <w:t>Wet Lab</w:t>
      </w:r>
      <w:r>
        <w:rPr>
          <w:rFonts w:hint="eastAsia" w:ascii="Aptos Display" w:hAnsi="Aptos Display" w:eastAsia="宋体"/>
          <w:b/>
          <w:color w:val="4A3428"/>
          <w:sz w:val="23"/>
          <w:lang w:val="en-US" w:eastAsia="zh-CN"/>
        </w:rPr>
        <w:t>显示表格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57"/>
        <w:gridCol w:w="5981"/>
      </w:tblGrid>
      <w:tr w14:paraId="2A6866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657" w:type="dxa"/>
            <w:tcBorders>
              <w:top w:val="single" w:color="84583D" w:sz="16" w:space="0"/>
              <w:left w:val="single" w:color="84583D" w:sz="16" w:space="0"/>
              <w:bottom w:val="single" w:color="D7C0AA" w:sz="4" w:space="0"/>
              <w:right w:val="single" w:color="D7C0AA" w:sz="4" w:space="0"/>
            </w:tcBorders>
            <w:shd w:val="clear" w:color="auto" w:fill="F4E9DD"/>
            <w:tcMar>
              <w:top w:w="65" w:type="dxa"/>
              <w:left w:w="145" w:type="dxa"/>
              <w:bottom w:w="65" w:type="dxa"/>
              <w:right w:w="145" w:type="dxa"/>
            </w:tcMar>
            <w:vAlign w:val="center"/>
          </w:tcPr>
          <w:p w14:paraId="7F4EEC74">
            <w:pPr>
              <w:spacing w:before="0" w:after="0" w:line="278" w:lineRule="auto"/>
              <w:jc w:val="left"/>
            </w:pPr>
            <w:r>
              <w:rPr>
                <w:rFonts w:ascii="Aptos" w:hAnsi="Aptos"/>
                <w:b/>
                <w:color w:val="84583D"/>
                <w:sz w:val="18"/>
              </w:rPr>
              <w:t>Problem</w:t>
            </w:r>
          </w:p>
        </w:tc>
        <w:tc>
          <w:tcPr>
            <w:tcW w:w="5981" w:type="dxa"/>
            <w:tcBorders>
              <w:top w:val="single" w:color="84583D" w:sz="16" w:space="0"/>
              <w:left w:val="single" w:color="D7C0AA" w:sz="4" w:space="0"/>
              <w:bottom w:val="single" w:color="D7C0AA" w:sz="4" w:space="0"/>
              <w:right w:val="single" w:color="84583D" w:sz="16" w:space="0"/>
            </w:tcBorders>
            <w:shd w:val="clear" w:color="auto" w:fill="F4E9DD"/>
            <w:tcMar>
              <w:top w:w="65" w:type="dxa"/>
              <w:left w:w="145" w:type="dxa"/>
              <w:bottom w:w="65" w:type="dxa"/>
              <w:right w:w="145" w:type="dxa"/>
            </w:tcMar>
            <w:vAlign w:val="center"/>
          </w:tcPr>
          <w:p w14:paraId="679181D2">
            <w:pPr>
              <w:spacing w:before="0" w:after="0" w:line="278" w:lineRule="auto"/>
              <w:jc w:val="left"/>
            </w:pPr>
            <w:r>
              <w:rPr>
                <w:rFonts w:ascii="Aptos" w:hAnsi="Aptos"/>
                <w:b/>
                <w:color w:val="84583D"/>
                <w:sz w:val="18"/>
              </w:rPr>
              <w:t>HP Feedback  →  Improvement</w:t>
            </w:r>
          </w:p>
        </w:tc>
      </w:tr>
      <w:tr w14:paraId="763D37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57" w:type="dxa"/>
            <w:tcBorders>
              <w:top w:val="single" w:color="D7C0AA" w:sz="4" w:space="0"/>
              <w:left w:val="single" w:color="84583D" w:sz="16" w:space="0"/>
              <w:bottom w:val="single" w:color="D7C0AA" w:sz="4" w:space="0"/>
              <w:right w:val="single" w:color="D7C0AA" w:sz="4" w:space="0"/>
            </w:tcBorders>
            <w:shd w:val="clear" w:color="auto" w:fill="FFFDFC"/>
            <w:tcMar>
              <w:top w:w="72" w:type="dxa"/>
              <w:left w:w="145" w:type="dxa"/>
              <w:bottom w:w="72" w:type="dxa"/>
              <w:right w:w="145" w:type="dxa"/>
            </w:tcMar>
            <w:vAlign w:val="center"/>
          </w:tcPr>
          <w:p w14:paraId="61B43FB8">
            <w:pPr>
              <w:spacing w:before="0" w:after="0" w:line="278" w:lineRule="auto"/>
              <w:jc w:val="left"/>
            </w:pPr>
            <w:r>
              <w:rPr>
                <w:rFonts w:ascii="Aptos" w:hAnsi="Aptos"/>
                <w:b w:val="0"/>
                <w:color w:val="4A3428"/>
                <w:sz w:val="18"/>
              </w:rPr>
              <w:t>Conventional PCR required complex equipment</w:t>
            </w:r>
          </w:p>
        </w:tc>
        <w:tc>
          <w:tcPr>
            <w:tcW w:w="5981" w:type="dxa"/>
            <w:tcBorders>
              <w:top w:val="single" w:color="D7C0AA" w:sz="4" w:space="0"/>
              <w:left w:val="single" w:color="D7C0AA" w:sz="4" w:space="0"/>
              <w:bottom w:val="single" w:color="D7C0AA" w:sz="4" w:space="0"/>
              <w:right w:val="single" w:color="84583D" w:sz="16" w:space="0"/>
            </w:tcBorders>
            <w:shd w:val="clear" w:color="auto" w:fill="FFFDFC"/>
            <w:tcMar>
              <w:top w:w="72" w:type="dxa"/>
              <w:left w:w="145" w:type="dxa"/>
              <w:bottom w:w="72" w:type="dxa"/>
              <w:right w:w="145" w:type="dxa"/>
            </w:tcMar>
            <w:vAlign w:val="center"/>
          </w:tcPr>
          <w:p w14:paraId="27DF3027">
            <w:pPr>
              <w:spacing w:before="0" w:after="0" w:line="278" w:lineRule="auto"/>
              <w:jc w:val="left"/>
            </w:pPr>
            <w:r>
              <w:rPr>
                <w:rFonts w:ascii="Aptos" w:hAnsi="Aptos"/>
                <w:b w:val="0"/>
                <w:color w:val="4A3428"/>
                <w:sz w:val="18"/>
              </w:rPr>
              <w:t>Prof. X. Chris Le’s advice → Shifted to a portable one-pot RPA–CRISPR/Cas12a method.</w:t>
            </w:r>
          </w:p>
        </w:tc>
      </w:tr>
      <w:tr w14:paraId="1A9F6F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57" w:type="dxa"/>
            <w:tcBorders>
              <w:top w:val="single" w:color="D7C0AA" w:sz="4" w:space="0"/>
              <w:left w:val="single" w:color="84583D" w:sz="16" w:space="0"/>
              <w:bottom w:val="single" w:color="84583D" w:sz="16" w:space="0"/>
              <w:right w:val="single" w:color="D7C0AA" w:sz="4" w:space="0"/>
            </w:tcBorders>
            <w:shd w:val="clear" w:color="auto" w:fill="FFFDFC"/>
            <w:tcMar>
              <w:top w:w="72" w:type="dxa"/>
              <w:left w:w="145" w:type="dxa"/>
              <w:bottom w:w="72" w:type="dxa"/>
              <w:right w:w="145" w:type="dxa"/>
            </w:tcMar>
            <w:vAlign w:val="center"/>
          </w:tcPr>
          <w:p w14:paraId="0D21D507">
            <w:pPr>
              <w:spacing w:before="0" w:after="0" w:line="278" w:lineRule="auto"/>
              <w:jc w:val="left"/>
            </w:pPr>
            <w:r>
              <w:rPr>
                <w:rFonts w:ascii="Aptos" w:hAnsi="Aptos"/>
                <w:b w:val="0"/>
                <w:color w:val="4A3428"/>
                <w:sz w:val="18"/>
              </w:rPr>
              <w:t>One-pot reactions showed reduced activity and component interference</w:t>
            </w:r>
          </w:p>
        </w:tc>
        <w:tc>
          <w:tcPr>
            <w:tcW w:w="5981" w:type="dxa"/>
            <w:tcBorders>
              <w:top w:val="single" w:color="D7C0AA" w:sz="4" w:space="0"/>
              <w:left w:val="single" w:color="D7C0AA" w:sz="4" w:space="0"/>
              <w:bottom w:val="single" w:color="84583D" w:sz="16" w:space="0"/>
              <w:right w:val="single" w:color="84583D" w:sz="16" w:space="0"/>
            </w:tcBorders>
            <w:shd w:val="clear" w:color="auto" w:fill="FFFDFC"/>
            <w:tcMar>
              <w:top w:w="72" w:type="dxa"/>
              <w:left w:w="145" w:type="dxa"/>
              <w:bottom w:w="72" w:type="dxa"/>
              <w:right w:w="145" w:type="dxa"/>
            </w:tcMar>
            <w:vAlign w:val="center"/>
          </w:tcPr>
          <w:p w14:paraId="00BA060B">
            <w:pPr>
              <w:spacing w:before="0" w:after="0" w:line="278" w:lineRule="auto"/>
              <w:jc w:val="left"/>
            </w:pPr>
            <w:r>
              <w:rPr>
                <w:rFonts w:ascii="Aptos" w:hAnsi="Aptos"/>
                <w:b w:val="0"/>
                <w:color w:val="4A3428"/>
                <w:sz w:val="18"/>
              </w:rPr>
              <w:t>Prof. Tsan-Yuk Lam’s advice → Optimized Mg²⁺, pH, and primer–crRNA ratios with single-factor experiments and controls.</w:t>
            </w:r>
          </w:p>
        </w:tc>
      </w:tr>
    </w:tbl>
    <w:p w14:paraId="14D804FB">
      <w:pPr>
        <w:keepLines/>
        <w:widowControl/>
        <w:spacing w:before="0" w:after="0" w:line="120" w:lineRule="auto"/>
      </w:pPr>
      <w:r>
        <w:rPr>
          <w:sz w:val="4"/>
        </w:rPr>
        <w:t xml:space="preserve"> </w:t>
      </w:r>
    </w:p>
    <w:p w14:paraId="7384D680">
      <w:pPr>
        <w:keepNext/>
        <w:keepLines/>
        <w:widowControl/>
        <w:spacing w:before="120" w:after="80"/>
        <w:rPr>
          <w:rFonts w:hint="default" w:eastAsia="宋体"/>
          <w:lang w:val="en-US" w:eastAsia="zh-CN"/>
        </w:rPr>
      </w:pPr>
      <w:r>
        <w:rPr>
          <w:rFonts w:hint="eastAsia" w:ascii="Aptos Display" w:hAnsi="Aptos Display" w:eastAsia="宋体"/>
          <w:b/>
          <w:color w:val="4A3428"/>
          <w:sz w:val="23"/>
          <w:lang w:val="en-US" w:eastAsia="zh-CN"/>
        </w:rPr>
        <w:t>点击</w:t>
      </w:r>
      <w:r>
        <w:rPr>
          <w:rFonts w:ascii="Aptos Display" w:hAnsi="Aptos Display"/>
          <w:b/>
          <w:color w:val="4A3428"/>
          <w:sz w:val="23"/>
        </w:rPr>
        <w:t>Software</w:t>
      </w:r>
      <w:r>
        <w:rPr>
          <w:rFonts w:hint="eastAsia" w:ascii="Aptos Display" w:hAnsi="Aptos Display" w:eastAsia="宋体"/>
          <w:b/>
          <w:color w:val="4A3428"/>
          <w:sz w:val="23"/>
          <w:lang w:val="en-US" w:eastAsia="zh-CN"/>
        </w:rPr>
        <w:t>显示表格：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57"/>
        <w:gridCol w:w="5981"/>
      </w:tblGrid>
      <w:tr w14:paraId="428EE5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657" w:type="dxa"/>
            <w:tcBorders>
              <w:top w:val="single" w:color="84583D" w:sz="16" w:space="0"/>
              <w:left w:val="single" w:color="84583D" w:sz="16" w:space="0"/>
              <w:bottom w:val="single" w:color="D7C0AA" w:sz="4" w:space="0"/>
              <w:right w:val="single" w:color="D7C0AA" w:sz="4" w:space="0"/>
            </w:tcBorders>
            <w:shd w:val="clear" w:color="auto" w:fill="F4E9DD"/>
            <w:tcMar>
              <w:top w:w="65" w:type="dxa"/>
              <w:left w:w="145" w:type="dxa"/>
              <w:bottom w:w="65" w:type="dxa"/>
              <w:right w:w="145" w:type="dxa"/>
            </w:tcMar>
            <w:vAlign w:val="center"/>
          </w:tcPr>
          <w:p w14:paraId="3D857A31">
            <w:pPr>
              <w:spacing w:before="0" w:after="0" w:line="278" w:lineRule="auto"/>
              <w:jc w:val="left"/>
            </w:pPr>
            <w:r>
              <w:rPr>
                <w:rFonts w:ascii="Aptos" w:hAnsi="Aptos"/>
                <w:b/>
                <w:color w:val="84583D"/>
                <w:sz w:val="18"/>
              </w:rPr>
              <w:t>Problem</w:t>
            </w:r>
          </w:p>
        </w:tc>
        <w:tc>
          <w:tcPr>
            <w:tcW w:w="5981" w:type="dxa"/>
            <w:tcBorders>
              <w:top w:val="single" w:color="84583D" w:sz="16" w:space="0"/>
              <w:left w:val="single" w:color="D7C0AA" w:sz="4" w:space="0"/>
              <w:bottom w:val="single" w:color="D7C0AA" w:sz="4" w:space="0"/>
              <w:right w:val="single" w:color="84583D" w:sz="16" w:space="0"/>
            </w:tcBorders>
            <w:shd w:val="clear" w:color="auto" w:fill="F4E9DD"/>
            <w:tcMar>
              <w:top w:w="65" w:type="dxa"/>
              <w:left w:w="145" w:type="dxa"/>
              <w:bottom w:w="65" w:type="dxa"/>
              <w:right w:w="145" w:type="dxa"/>
            </w:tcMar>
            <w:vAlign w:val="center"/>
          </w:tcPr>
          <w:p w14:paraId="55C0E405">
            <w:pPr>
              <w:spacing w:before="0" w:after="0" w:line="278" w:lineRule="auto"/>
              <w:jc w:val="left"/>
            </w:pPr>
            <w:r>
              <w:rPr>
                <w:rFonts w:ascii="Aptos" w:hAnsi="Aptos"/>
                <w:b/>
                <w:color w:val="84583D"/>
                <w:sz w:val="18"/>
              </w:rPr>
              <w:t>HP Feedback  →  Improvement</w:t>
            </w:r>
          </w:p>
        </w:tc>
      </w:tr>
      <w:tr w14:paraId="1E20BC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57" w:type="dxa"/>
            <w:tcBorders>
              <w:top w:val="single" w:color="D7C0AA" w:sz="4" w:space="0"/>
              <w:left w:val="single" w:color="84583D" w:sz="16" w:space="0"/>
              <w:bottom w:val="single" w:color="D7C0AA" w:sz="4" w:space="0"/>
              <w:right w:val="single" w:color="D7C0AA" w:sz="4" w:space="0"/>
            </w:tcBorders>
            <w:shd w:val="clear" w:color="auto" w:fill="FFFDFC"/>
            <w:tcMar>
              <w:top w:w="72" w:type="dxa"/>
              <w:left w:w="145" w:type="dxa"/>
              <w:bottom w:w="72" w:type="dxa"/>
              <w:right w:w="145" w:type="dxa"/>
            </w:tcMar>
            <w:vAlign w:val="center"/>
          </w:tcPr>
          <w:p w14:paraId="241387E4">
            <w:pPr>
              <w:spacing w:before="0" w:after="0" w:line="278" w:lineRule="auto"/>
              <w:jc w:val="left"/>
            </w:pPr>
            <w:r>
              <w:rPr>
                <w:rFonts w:ascii="Aptos" w:hAnsi="Aptos"/>
                <w:b w:val="0"/>
                <w:color w:val="4A3428"/>
                <w:sz w:val="18"/>
              </w:rPr>
              <w:t>Weak fluorescence and background interference complicated signal reading</w:t>
            </w:r>
          </w:p>
        </w:tc>
        <w:tc>
          <w:tcPr>
            <w:tcW w:w="5981" w:type="dxa"/>
            <w:tcBorders>
              <w:top w:val="single" w:color="D7C0AA" w:sz="4" w:space="0"/>
              <w:left w:val="single" w:color="D7C0AA" w:sz="4" w:space="0"/>
              <w:bottom w:val="single" w:color="D7C0AA" w:sz="4" w:space="0"/>
              <w:right w:val="single" w:color="84583D" w:sz="16" w:space="0"/>
            </w:tcBorders>
            <w:shd w:val="clear" w:color="auto" w:fill="FFFDFC"/>
            <w:tcMar>
              <w:top w:w="72" w:type="dxa"/>
              <w:left w:w="145" w:type="dxa"/>
              <w:bottom w:w="72" w:type="dxa"/>
              <w:right w:w="145" w:type="dxa"/>
            </w:tcMar>
            <w:vAlign w:val="center"/>
          </w:tcPr>
          <w:p w14:paraId="395B36A4">
            <w:pPr>
              <w:spacing w:before="0" w:after="0" w:line="278" w:lineRule="auto"/>
              <w:jc w:val="left"/>
            </w:pPr>
            <w:r>
              <w:rPr>
                <w:rFonts w:ascii="Aptos" w:hAnsi="Aptos"/>
                <w:b w:val="0"/>
                <w:color w:val="4A3428"/>
                <w:sz w:val="18"/>
              </w:rPr>
              <w:t>Prof. Yingtao Zhang’s advice → Used YOLOv8n + OpenCV for fluorescence recognition and background-noise reduction.</w:t>
            </w:r>
          </w:p>
        </w:tc>
      </w:tr>
      <w:tr w14:paraId="149A56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57" w:type="dxa"/>
            <w:tcBorders>
              <w:top w:val="single" w:color="D7C0AA" w:sz="4" w:space="0"/>
              <w:left w:val="single" w:color="84583D" w:sz="16" w:space="0"/>
              <w:bottom w:val="single" w:color="84583D" w:sz="16" w:space="0"/>
              <w:right w:val="single" w:color="D7C0AA" w:sz="4" w:space="0"/>
            </w:tcBorders>
            <w:shd w:val="clear" w:color="auto" w:fill="FFFDFC"/>
            <w:tcMar>
              <w:top w:w="72" w:type="dxa"/>
              <w:left w:w="145" w:type="dxa"/>
              <w:bottom w:w="72" w:type="dxa"/>
              <w:right w:w="145" w:type="dxa"/>
            </w:tcMar>
            <w:vAlign w:val="center"/>
          </w:tcPr>
          <w:p w14:paraId="210D1E57">
            <w:pPr>
              <w:spacing w:before="0" w:after="0" w:line="278" w:lineRule="auto"/>
              <w:jc w:val="left"/>
            </w:pPr>
            <w:r>
              <w:rPr>
                <w:rFonts w:ascii="Aptos" w:hAnsi="Aptos"/>
                <w:b w:val="0"/>
                <w:color w:val="4A3428"/>
                <w:sz w:val="18"/>
              </w:rPr>
              <w:t>Multiple detection results were difficult to manage and display</w:t>
            </w:r>
          </w:p>
        </w:tc>
        <w:tc>
          <w:tcPr>
            <w:tcW w:w="5981" w:type="dxa"/>
            <w:tcBorders>
              <w:top w:val="single" w:color="D7C0AA" w:sz="4" w:space="0"/>
              <w:left w:val="single" w:color="D7C0AA" w:sz="4" w:space="0"/>
              <w:bottom w:val="single" w:color="84583D" w:sz="16" w:space="0"/>
              <w:right w:val="single" w:color="84583D" w:sz="16" w:space="0"/>
            </w:tcBorders>
            <w:shd w:val="clear" w:color="auto" w:fill="FFFDFC"/>
            <w:tcMar>
              <w:top w:w="72" w:type="dxa"/>
              <w:left w:w="145" w:type="dxa"/>
              <w:bottom w:w="72" w:type="dxa"/>
              <w:right w:w="145" w:type="dxa"/>
            </w:tcMar>
            <w:vAlign w:val="center"/>
          </w:tcPr>
          <w:p w14:paraId="32FAFD84">
            <w:pPr>
              <w:spacing w:before="0" w:after="0" w:line="278" w:lineRule="auto"/>
              <w:jc w:val="left"/>
            </w:pPr>
            <w:r>
              <w:rPr>
                <w:rFonts w:ascii="Aptos" w:hAnsi="Aptos"/>
                <w:b w:val="0"/>
                <w:color w:val="4A3428"/>
                <w:sz w:val="18"/>
              </w:rPr>
              <w:t>Multichannel engineering and user needs → Updated the app for multi-tube recognition, fluorescence curves, and mobile results.</w:t>
            </w:r>
          </w:p>
        </w:tc>
      </w:tr>
    </w:tbl>
    <w:p w14:paraId="3C08B78E">
      <w:pPr>
        <w:keepLines/>
        <w:widowControl/>
        <w:spacing w:before="0" w:after="0" w:line="120" w:lineRule="auto"/>
      </w:pPr>
      <w:r>
        <w:rPr>
          <w:sz w:val="4"/>
        </w:rPr>
        <w:t xml:space="preserve"> </w:t>
      </w:r>
    </w:p>
    <w:p w14:paraId="6BAFD136">
      <w:pPr>
        <w:keepNext/>
        <w:keepLines/>
        <w:widowControl/>
        <w:spacing w:before="120" w:after="80"/>
        <w:rPr>
          <w:rFonts w:hint="default" w:eastAsia="宋体"/>
          <w:lang w:val="en-US" w:eastAsia="zh-CN"/>
        </w:rPr>
      </w:pPr>
      <w:r>
        <w:rPr>
          <w:rFonts w:hint="eastAsia" w:ascii="Aptos Display" w:hAnsi="Aptos Display" w:eastAsia="宋体"/>
          <w:b/>
          <w:color w:val="4A3428"/>
          <w:sz w:val="23"/>
          <w:lang w:val="en-US" w:eastAsia="zh-CN"/>
        </w:rPr>
        <w:t>点击</w:t>
      </w:r>
      <w:r>
        <w:rPr>
          <w:rFonts w:ascii="Aptos Display" w:hAnsi="Aptos Display"/>
          <w:b/>
          <w:color w:val="4A3428"/>
          <w:sz w:val="23"/>
        </w:rPr>
        <w:t xml:space="preserve"> Hardware</w:t>
      </w:r>
      <w:r>
        <w:rPr>
          <w:rFonts w:hint="eastAsia" w:ascii="Aptos Display" w:hAnsi="Aptos Display" w:eastAsia="宋体"/>
          <w:b/>
          <w:color w:val="4A3428"/>
          <w:sz w:val="23"/>
          <w:lang w:val="en-US" w:eastAsia="zh-CN"/>
        </w:rPr>
        <w:t xml:space="preserve"> 显示表格：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57"/>
        <w:gridCol w:w="5981"/>
      </w:tblGrid>
      <w:tr w14:paraId="48BD38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657" w:type="dxa"/>
            <w:tcBorders>
              <w:top w:val="single" w:color="84583D" w:sz="16" w:space="0"/>
              <w:left w:val="single" w:color="84583D" w:sz="16" w:space="0"/>
              <w:bottom w:val="single" w:color="D7C0AA" w:sz="4" w:space="0"/>
              <w:right w:val="single" w:color="D7C0AA" w:sz="4" w:space="0"/>
            </w:tcBorders>
            <w:shd w:val="clear" w:color="auto" w:fill="F4E9DD"/>
            <w:tcMar>
              <w:top w:w="65" w:type="dxa"/>
              <w:left w:w="145" w:type="dxa"/>
              <w:bottom w:w="65" w:type="dxa"/>
              <w:right w:w="145" w:type="dxa"/>
            </w:tcMar>
            <w:vAlign w:val="center"/>
          </w:tcPr>
          <w:p w14:paraId="38E1BB72">
            <w:pPr>
              <w:spacing w:before="0" w:after="0" w:line="278" w:lineRule="auto"/>
              <w:jc w:val="left"/>
            </w:pPr>
            <w:r>
              <w:rPr>
                <w:rFonts w:ascii="Aptos" w:hAnsi="Aptos"/>
                <w:b/>
                <w:color w:val="84583D"/>
                <w:sz w:val="18"/>
              </w:rPr>
              <w:t>Problem</w:t>
            </w:r>
          </w:p>
        </w:tc>
        <w:tc>
          <w:tcPr>
            <w:tcW w:w="5981" w:type="dxa"/>
            <w:tcBorders>
              <w:top w:val="single" w:color="84583D" w:sz="16" w:space="0"/>
              <w:left w:val="single" w:color="D7C0AA" w:sz="4" w:space="0"/>
              <w:bottom w:val="single" w:color="D7C0AA" w:sz="4" w:space="0"/>
              <w:right w:val="single" w:color="84583D" w:sz="16" w:space="0"/>
            </w:tcBorders>
            <w:shd w:val="clear" w:color="auto" w:fill="F4E9DD"/>
            <w:tcMar>
              <w:top w:w="65" w:type="dxa"/>
              <w:left w:w="145" w:type="dxa"/>
              <w:bottom w:w="65" w:type="dxa"/>
              <w:right w:w="145" w:type="dxa"/>
            </w:tcMar>
            <w:vAlign w:val="center"/>
          </w:tcPr>
          <w:p w14:paraId="65315967">
            <w:pPr>
              <w:spacing w:before="0" w:after="0" w:line="278" w:lineRule="auto"/>
              <w:jc w:val="left"/>
            </w:pPr>
            <w:r>
              <w:rPr>
                <w:rFonts w:ascii="Aptos" w:hAnsi="Aptos"/>
                <w:b/>
                <w:color w:val="84583D"/>
                <w:sz w:val="18"/>
              </w:rPr>
              <w:t>HP Feedback  →  Improvement</w:t>
            </w:r>
          </w:p>
        </w:tc>
      </w:tr>
      <w:tr w14:paraId="67C0D1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57" w:type="dxa"/>
            <w:tcBorders>
              <w:top w:val="single" w:color="D7C0AA" w:sz="4" w:space="0"/>
              <w:left w:val="single" w:color="84583D" w:sz="16" w:space="0"/>
              <w:bottom w:val="single" w:color="D7C0AA" w:sz="4" w:space="0"/>
              <w:right w:val="single" w:color="D7C0AA" w:sz="4" w:space="0"/>
            </w:tcBorders>
            <w:shd w:val="clear" w:color="auto" w:fill="FFFDFC"/>
            <w:tcMar>
              <w:top w:w="72" w:type="dxa"/>
              <w:left w:w="145" w:type="dxa"/>
              <w:bottom w:w="72" w:type="dxa"/>
              <w:right w:w="145" w:type="dxa"/>
            </w:tcMar>
            <w:vAlign w:val="center"/>
          </w:tcPr>
          <w:p w14:paraId="258095B0">
            <w:pPr>
              <w:spacing w:before="0" w:after="0" w:line="278" w:lineRule="auto"/>
              <w:jc w:val="left"/>
            </w:pPr>
            <w:r>
              <w:rPr>
                <w:rFonts w:ascii="Aptos" w:hAnsi="Aptos"/>
                <w:b w:val="0"/>
                <w:color w:val="4A3428"/>
                <w:sz w:val="18"/>
              </w:rPr>
              <w:t>Laboratory reactions were difficult to reproduce in field settings</w:t>
            </w:r>
          </w:p>
        </w:tc>
        <w:tc>
          <w:tcPr>
            <w:tcW w:w="5981" w:type="dxa"/>
            <w:tcBorders>
              <w:top w:val="single" w:color="D7C0AA" w:sz="4" w:space="0"/>
              <w:left w:val="single" w:color="D7C0AA" w:sz="4" w:space="0"/>
              <w:bottom w:val="single" w:color="D7C0AA" w:sz="4" w:space="0"/>
              <w:right w:val="single" w:color="84583D" w:sz="16" w:space="0"/>
            </w:tcBorders>
            <w:shd w:val="clear" w:color="auto" w:fill="FFFDFC"/>
            <w:tcMar>
              <w:top w:w="72" w:type="dxa"/>
              <w:left w:w="145" w:type="dxa"/>
              <w:bottom w:w="72" w:type="dxa"/>
              <w:right w:w="145" w:type="dxa"/>
            </w:tcMar>
            <w:vAlign w:val="center"/>
          </w:tcPr>
          <w:p w14:paraId="31E90620">
            <w:pPr>
              <w:spacing w:before="0" w:after="0" w:line="278" w:lineRule="auto"/>
              <w:jc w:val="left"/>
            </w:pPr>
            <w:r>
              <w:rPr>
                <w:rFonts w:ascii="Aptos" w:hAnsi="Aptos"/>
                <w:b w:val="0"/>
                <w:color w:val="4A3428"/>
                <w:sz w:val="18"/>
              </w:rPr>
              <w:t>Prof. Zheng Hu’s advice → Integrated stable temperature control and fluorescence acquisition into a portable device.</w:t>
            </w:r>
          </w:p>
        </w:tc>
      </w:tr>
      <w:tr w14:paraId="5490DE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57" w:type="dxa"/>
            <w:tcBorders>
              <w:top w:val="single" w:color="D7C0AA" w:sz="4" w:space="0"/>
              <w:left w:val="single" w:color="84583D" w:sz="16" w:space="0"/>
              <w:bottom w:val="single" w:color="D7C0AA" w:sz="4" w:space="0"/>
              <w:right w:val="single" w:color="D7C0AA" w:sz="4" w:space="0"/>
            </w:tcBorders>
            <w:shd w:val="clear" w:color="auto" w:fill="FFFDFC"/>
            <w:tcMar>
              <w:top w:w="72" w:type="dxa"/>
              <w:left w:w="145" w:type="dxa"/>
              <w:bottom w:w="72" w:type="dxa"/>
              <w:right w:w="145" w:type="dxa"/>
            </w:tcMar>
            <w:vAlign w:val="center"/>
          </w:tcPr>
          <w:p w14:paraId="31F7C9DC">
            <w:pPr>
              <w:spacing w:before="0" w:after="0" w:line="278" w:lineRule="auto"/>
              <w:jc w:val="left"/>
            </w:pPr>
            <w:r>
              <w:rPr>
                <w:rFonts w:ascii="Aptos" w:hAnsi="Aptos"/>
                <w:b w:val="0"/>
                <w:color w:val="4A3428"/>
                <w:sz w:val="18"/>
              </w:rPr>
              <w:t>Single-channel testing could not meet frontline multiplex needs</w:t>
            </w:r>
          </w:p>
        </w:tc>
        <w:tc>
          <w:tcPr>
            <w:tcW w:w="5981" w:type="dxa"/>
            <w:tcBorders>
              <w:top w:val="single" w:color="D7C0AA" w:sz="4" w:space="0"/>
              <w:left w:val="single" w:color="D7C0AA" w:sz="4" w:space="0"/>
              <w:bottom w:val="single" w:color="D7C0AA" w:sz="4" w:space="0"/>
              <w:right w:val="single" w:color="84583D" w:sz="16" w:space="0"/>
            </w:tcBorders>
            <w:shd w:val="clear" w:color="auto" w:fill="FFFDFC"/>
            <w:tcMar>
              <w:top w:w="72" w:type="dxa"/>
              <w:left w:w="145" w:type="dxa"/>
              <w:bottom w:w="72" w:type="dxa"/>
              <w:right w:w="145" w:type="dxa"/>
            </w:tcMar>
            <w:vAlign w:val="center"/>
          </w:tcPr>
          <w:p w14:paraId="149D16C7">
            <w:pPr>
              <w:spacing w:before="0" w:after="0" w:line="278" w:lineRule="auto"/>
              <w:jc w:val="left"/>
            </w:pPr>
            <w:r>
              <w:rPr>
                <w:rFonts w:ascii="Aptos" w:hAnsi="Aptos"/>
                <w:b w:val="0"/>
                <w:color w:val="4A3428"/>
                <w:sz w:val="18"/>
              </w:rPr>
              <w:t>Nursing home and kindergarten feedback → Upgraded to a second-generation multichannel instrument.</w:t>
            </w:r>
          </w:p>
        </w:tc>
      </w:tr>
      <w:tr w14:paraId="3C4C68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57" w:type="dxa"/>
            <w:tcBorders>
              <w:top w:val="single" w:color="D7C0AA" w:sz="4" w:space="0"/>
              <w:left w:val="single" w:color="84583D" w:sz="16" w:space="0"/>
              <w:bottom w:val="single" w:color="84583D" w:sz="16" w:space="0"/>
              <w:right w:val="single" w:color="D7C0AA" w:sz="4" w:space="0"/>
            </w:tcBorders>
            <w:shd w:val="clear" w:color="auto" w:fill="FFFDFC"/>
            <w:tcMar>
              <w:top w:w="72" w:type="dxa"/>
              <w:left w:w="145" w:type="dxa"/>
              <w:bottom w:w="72" w:type="dxa"/>
              <w:right w:w="145" w:type="dxa"/>
            </w:tcMar>
            <w:vAlign w:val="center"/>
          </w:tcPr>
          <w:p w14:paraId="23EE074C">
            <w:pPr>
              <w:spacing w:before="0" w:after="0" w:line="278" w:lineRule="auto"/>
              <w:jc w:val="left"/>
            </w:pPr>
            <w:r>
              <w:rPr>
                <w:rFonts w:ascii="Aptos" w:hAnsi="Aptos"/>
                <w:b w:val="0"/>
                <w:color w:val="4A3428"/>
                <w:sz w:val="18"/>
              </w:rPr>
              <w:t>More channels increased size and thermal-interference challenges</w:t>
            </w:r>
          </w:p>
        </w:tc>
        <w:tc>
          <w:tcPr>
            <w:tcW w:w="5981" w:type="dxa"/>
            <w:tcBorders>
              <w:top w:val="single" w:color="D7C0AA" w:sz="4" w:space="0"/>
              <w:left w:val="single" w:color="D7C0AA" w:sz="4" w:space="0"/>
              <w:bottom w:val="single" w:color="84583D" w:sz="16" w:space="0"/>
              <w:right w:val="single" w:color="84583D" w:sz="16" w:space="0"/>
            </w:tcBorders>
            <w:shd w:val="clear" w:color="auto" w:fill="FFFDFC"/>
            <w:tcMar>
              <w:top w:w="72" w:type="dxa"/>
              <w:left w:w="145" w:type="dxa"/>
              <w:bottom w:w="72" w:type="dxa"/>
              <w:right w:w="145" w:type="dxa"/>
            </w:tcMar>
            <w:vAlign w:val="center"/>
          </w:tcPr>
          <w:p w14:paraId="09F01101">
            <w:pPr>
              <w:spacing w:before="0" w:after="0" w:line="278" w:lineRule="auto"/>
              <w:jc w:val="left"/>
            </w:pPr>
            <w:r>
              <w:rPr>
                <w:rFonts w:ascii="Aptos" w:hAnsi="Aptos"/>
                <w:b w:val="0"/>
                <w:color w:val="4A3428"/>
                <w:sz w:val="18"/>
              </w:rPr>
              <w:t>Prof. Ying Mou’s advice → Designed a rotating 15-position chamber with an independent, thermally isolated lysis region.</w:t>
            </w:r>
          </w:p>
        </w:tc>
      </w:tr>
    </w:tbl>
    <w:p w14:paraId="1DD68877">
      <w:pPr>
        <w:keepLines/>
        <w:widowControl/>
        <w:spacing w:before="0" w:after="0" w:line="120" w:lineRule="auto"/>
      </w:pPr>
      <w:r>
        <w:rPr>
          <w:sz w:val="4"/>
        </w:rPr>
        <w:t xml:space="preserve"> </w:t>
      </w:r>
    </w:p>
    <w:p w14:paraId="21E676C1">
      <w:pPr>
        <w:keepLines/>
        <w:widowControl/>
        <w:spacing w:before="160" w:after="0"/>
        <w:jc w:val="right"/>
      </w:pPr>
      <w:bookmarkStart w:id="0" w:name="_GoBack"/>
      <w:bookmarkEnd w:id="0"/>
    </w:p>
    <w:sectPr>
      <w:pgSz w:w="11906" w:h="16838"/>
      <w:pgMar w:top="737" w:right="1134" w:bottom="697" w:left="1134" w:header="397" w:footer="39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ptos Display">
    <w:altName w:val="Segoe UI Variable Displa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9" w:lineRule="auto"/>
      </w:pPr>
      <w:r>
        <w:separator/>
      </w:r>
    </w:p>
  </w:footnote>
  <w:footnote w:type="continuationSeparator" w:id="1">
    <w:p>
      <w:pPr>
        <w:spacing w:before="0" w:after="0" w:line="26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1123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69" w:lineRule="auto"/>
    </w:pPr>
    <w:rPr>
      <w:rFonts w:ascii="Aptos" w:hAnsi="Aptos" w:eastAsiaTheme="minorEastAsia" w:cstheme="minorBidi"/>
      <w:color w:val="4A3428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262</Words>
  <Characters>1673</Characters>
  <Lines>0</Lines>
  <Paragraphs>0</Paragraphs>
  <TotalTime>2</TotalTime>
  <ScaleCrop>false</ScaleCrop>
  <LinksUpToDate>false</LinksUpToDate>
  <CharactersWithSpaces>1927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ByeGerm</dc:creator>
  <dc:description>generated by python-docx</dc:description>
  <cp:lastModifiedBy>杨雨佳</cp:lastModifiedBy>
  <dcterms:modified xsi:type="dcterms:W3CDTF">2026-10-17T05:59:06Z</dcterms:modified>
  <dc:subject>Stage 3 Dry Lab and Wet Lab; Stage 4 Software and Hardware</dc:subject>
  <dc:title>ByeGerm | IHP: Four Brown-Bordered Tables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eyJoZGlkIjoiYjZlZWYyZGExMTY0MmZjOWYwNWZmNGEyOWM3MzU1NmQiLCJ1c2VySWQiOiIxMjA3NTc2Nzk2In0=</vt:lpwstr>
  </property>
  <property fmtid="{D5CDD505-2E9C-101B-9397-08002B2CF9AE}" pid="3" name="KSOProductBuildVer">
    <vt:lpwstr>2052-12.1.0.28505</vt:lpwstr>
  </property>
  <property fmtid="{D5CDD505-2E9C-101B-9397-08002B2CF9AE}" pid="4" name="ICV">
    <vt:lpwstr>70B24D7B41FC4289B5D7D9FD5A7BB135_13</vt:lpwstr>
  </property>
</Properties>
</file>