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Noto Sans CJK SC" w:hAnsi="Noto Sans CJK SC" w:eastAsia="Noto Sans CJK SC" w:cs="Noto Sans CJK SC"/>
          <w:color w:val="000000"/>
        </w:rPr>
        <w:t>JLU SPH 病原体名称一致性核查</w:t>
      </w:r>
    </w:p>
    <w:p>
      <w:pPr>
        <w:pStyle w:val="Subtitle"/>
        <w:spacing w:after="160"/>
      </w:pPr>
      <w:r>
        <w:rPr>
          <w:rFonts w:ascii="Noto Sans CJK SC" w:hAnsi="Noto Sans CJK SC" w:eastAsia="Noto Sans CJK SC" w:cs="Noto Sans CJK SC"/>
          <w:color w:val="000000"/>
        </w:rPr>
        <w:t>EDU 与项目页面逐处核对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000000"/>
          <w:sz w:val="19"/>
        </w:rPr>
        <w:t>核查日期  2026 年 10 月 17 日  UTC</w:t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000000"/>
        </w:rPr>
        <w:t>结论：</w:t>
      </w:r>
      <w:r>
        <w:rPr>
          <w:rFonts w:ascii="Noto Sans CJK SC" w:hAnsi="Noto Sans CJK SC" w:eastAsia="Noto Sans CJK SC" w:cs="Noto Sans CJK SC"/>
          <w:color w:val="000000"/>
        </w:rPr>
        <w:t>确实不一致。当前 iHP、Description、Design、Parts 和实验结果页面采用 RSV、hMPV-B、SPN、BP、HI；EDU 和 Entrepreneurship 仍有新冠病毒、流感病毒的旧名单。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000000"/>
        </w:rPr>
        <w:t>需要补回的两种菌是百日咳鲍特菌和流感嗜血杆菌；多列的是新冠病毒和流感病毒。流感病毒与流感嗜血杆菌不是同一病原体，不能视为简称差异。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23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82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核对结果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多列的病原体</w:t>
            </w:r>
          </w:p>
        </w:tc>
        <w:tc>
          <w:tcPr>
            <w:tcW w:type="dxa" w:w="82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SARS-CoV-2；influenza viruses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漏列的病原体</w:t>
            </w:r>
          </w:p>
        </w:tc>
        <w:tc>
          <w:tcPr>
            <w:tcW w:type="dxa" w:w="82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Bordetella pertussis（BP）；Haemophilus influenzae（HI）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共同项目</w:t>
            </w:r>
          </w:p>
        </w:tc>
        <w:tc>
          <w:tcPr>
            <w:tcW w:type="dxa" w:w="82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RSV；人偏肺病毒；Streptococcus pneumoniae（SPN）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组成差异</w:t>
            </w:r>
          </w:p>
        </w:tc>
        <w:tc>
          <w:tcPr>
            <w:tcW w:type="dxa" w:w="823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EDU 为四项病毒加一项细菌；当前实验面板为两项病毒加三项细菌</w:t>
            </w:r>
          </w:p>
        </w:tc>
      </w:tr>
    </w:tbl>
    <w:p>
      <w:pPr>
        <w:spacing w:after="40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建议统一使用的五项名单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213"/>
        <w:gridCol w:w="1181"/>
        <w:gridCol w:w="151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中文名称</w:t>
            </w:r>
          </w:p>
        </w:tc>
        <w:tc>
          <w:tcPr>
            <w:tcW w:type="dxa" w:w="52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英文名称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缩写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0" w:line="27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类别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呼吸道合胞病毒</w:t>
            </w:r>
          </w:p>
        </w:tc>
        <w:tc>
          <w:tcPr>
            <w:tcW w:type="dxa" w:w="52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Respiratory syncytial virus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RSV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病毒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人偏肺病毒 B 型</w:t>
            </w:r>
          </w:p>
        </w:tc>
        <w:tc>
          <w:tcPr>
            <w:tcW w:type="dxa" w:w="52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Human metapneumovirus subtype B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hMPV-B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病毒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肺炎链球菌</w:t>
            </w:r>
          </w:p>
        </w:tc>
        <w:tc>
          <w:tcPr>
            <w:tcW w:type="dxa" w:w="52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Streptococcus pneumoniae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SPN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细菌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百日咳鲍特菌</w:t>
            </w:r>
          </w:p>
        </w:tc>
        <w:tc>
          <w:tcPr>
            <w:tcW w:type="dxa" w:w="52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Bordetella pertussis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BP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细菌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流感嗜血杆菌</w:t>
            </w:r>
          </w:p>
        </w:tc>
        <w:tc>
          <w:tcPr>
            <w:tcW w:type="dxa" w:w="52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Haemophilus influenzae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HI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细菌</w:t>
            </w:r>
          </w:p>
        </w:tc>
      </w:tr>
    </w:tbl>
    <w:p>
      <w:pPr>
        <w:spacing w:after="40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pPr>
        <w:spacing w:after="100"/>
      </w:pPr>
      <w:r>
        <w:rPr>
          <w:rFonts w:ascii="Noto Sans CJK SC" w:hAnsi="Noto Sans CJK SC" w:eastAsia="Noto Sans CJK SC" w:cs="Noto Sans CJK SC"/>
          <w:color w:val="000000"/>
          <w:sz w:val="19"/>
        </w:rPr>
        <w:t>共记录 9 处需要修改的位置：EDU 3 处，Entrepreneurship 6 处。EDU 两张信息卡属于与错误名单相连的展示位置，不能据此认定其中科普事实本身错误。hMPV 与 hMPV-B 的范围差异另列说明。</w:t>
      </w:r>
    </w:p>
    <w:p>
      <w:pPr>
        <w:spacing w:after="0"/>
      </w:pPr>
      <w:r>
        <w:rPr>
          <w:rFonts w:ascii="Noto Sans CJK SC" w:hAnsi="Noto Sans CJK SC" w:eastAsia="Noto Sans CJK SC" w:cs="Noto Sans CJK SC"/>
          <w:color w:val="000000"/>
          <w:sz w:val="18"/>
        </w:rPr>
        <w:t>统一口径依据为当前预览站明确列出的项目靶标及实验模块。以下逐项给出原文、位置、原因与建议，未对网站执行修改。</w:t>
      </w:r>
    </w:p>
    <w:p>
      <w:r>
        <w:br w:type="page"/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EDU 中需要修改的三处位置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E01 项目五项名单写入非本面板靶标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Scientific foundation → From respiratory pathogens to educational priorities 首段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Our project considers five respiratory pathogens: SARS-CoV-2, human metapneumovirus (hMPV), respiratory syncytial virus (RSV), influenza viruses, and Streptococcus pneumoniae.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该句明确使用 Our project，将新冠病毒和流感病毒写入项目五项名单，同时漏列百日咳鲍特菌和流感嗜血杆菌。与 iHP 的最终选择段及 Description、Design、Parts 的名单冲突。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整句的名单改为 RSV、hMPV-B、SPN、BP、HI。hMPV 同时补足 B 型范围；不要只把 influenza 改成 influenzae 而保留原来的病毒语境。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S4  |  </w:t>
      </w:r>
      <w:hyperlink r:id="rId9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Education 页面</w:t>
        </w:r>
      </w:hyperlink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E02 新冠卡片占用了项目靶标展示位置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同一 Scientific foundation 区域 → 第一张病原体卡片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SARS-CoV-2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紧接 E01 的五张卡片之一仍为 SARS-CoV-2，分类为 VIRUS。按当前项目面板，该卡片不能继续作为五项靶标展示的一部分。这里的问题是项目范围，不是新冠科普本身。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建议将此卡位用于 Bordetella pertussis（BP），分类改为 BACTERIUM，并重新编写其简介和教育重点。若保留新冠科普，应移至额外背景区域并明确它不在当前检测面板内。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S4 以及 S8  |  </w:t>
      </w:r>
      <w:hyperlink r:id="rId9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Education 页面</w:t>
        </w:r>
      </w:hyperlink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E03 流感病毒卡片与流感嗜血杆菌混淆风险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同一 Scientific foundation 区域 → 第四张病原体卡片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Influenza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该卡片分类为 VIRUS，正文讲流感感染，与项目的 Haemophilus influenzae（HI，流感嗜血杆菌）不是同一病原体。卡片组同时缺少 HI 和 BP。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建议将此卡位用于 Haemophilus influenzae（HI），分类改为 BACTERIUM，简介和教育重点一并重写。E02 与 E03 是两张卡位的整体调整建议，不代表已证明两种名称存在一一误写关系。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S4 以及 S7  |  </w:t>
      </w:r>
      <w:hyperlink r:id="rId9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Education 页面</w:t>
        </w:r>
      </w:hyperlink>
    </w:p>
    <w:p>
      <w:r>
        <w:br w:type="page"/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创业页面中的旧名单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E04 概览卡片仍使用旧的四病毒一细菌组合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ByeGerm at a Glance → Laboratory-stage performance → 5 pathogens 卡片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Influenza / COVID-19 / RSV / hMPV + S. pneumoniae.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卡片上同时写有 4+1 panel，沿用流感、新冠、RSV、hMPV 加肺炎链球菌的组合。当前实验面板应为两类病毒靶标和三类细菌靶标。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将卡片标签 4+1 panel 改为 Five-pathogen panel 或 2 viruses + 3 bacteria；名单改为 RSV / hMPV-B / SPN / BP / HI。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S6  |  </w:t>
      </w:r>
      <w:hyperlink r:id="rId10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Entrepreneurship 页面</w:t>
        </w:r>
      </w:hyperlink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E05 执行摘要表的靶标行不一致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Executive Summary → Project Overview → Table 0-1 → Targets 行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Influenza, COVID-19, RSV, hMPV, and Streptococcus pneumoniae (4+1).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Targets 行直接定义了项目检测对象，但仍多列新冠和流感、漏列 BP 和 HI。COVID-19 是疾病名称，在病原体名单中也不宜替代病毒学名称。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整行改为标准五项名单，并删除原来的 (4+1)，或用 (2 viral targets and 3 bacterial targets) 说明组成。hMPV 统一到 hMPV-B。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S6  |  </w:t>
      </w:r>
      <w:hyperlink r:id="rId10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Entrepreneurship 页面</w:t>
        </w:r>
      </w:hyperlink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E06 客户选择段的结果名单不一致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Executive Summary → UVP — Unique Value Proposition → Why Customers Would Choose Byegerm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influenza, the COVID-19, RSV, HMPV, and pneumocococcus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该段把仪器可给出的五列结果描述为旧组合，而不是当前的 RSV、hMPV-B、SPN、BP、HI。原文 pneumocococcus 还存在拼写问题。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将结果名单改为 RSV, hMPV-B, SPN, BP, and HI；肺炎链球菌用规范名称 Streptococcus pneumoniae（SPN）。本项仅校正病原体名称，不据此确认该段的性能数字。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S6  |  </w:t>
      </w:r>
      <w:hyperlink r:id="rId10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Entrepreneurship 页面</w:t>
        </w:r>
      </w:hyperlink>
    </w:p>
    <w:p>
      <w:r>
        <w:br w:type="page"/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创业页面中的归纳与标签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E07 专家意见后的面板归纳与当前 iHP 冲突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Potential Customers and Unmet Needs → Problem Background → 专家意见后的末句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4+1 (influenza, COVID-19s, RSV, hMPV+ pneumococcal).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该句把专家意见归纳为旧 4+1 组合，而当前 iHP 的 Changgui Kou 访谈 Dialogue 段明确列出 RSV、hMPV-B、SPN、BP、HI。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修改作者对面板的归纳句，使之与当前 iHP 一致；不要据此改写或编造专家原话。若确实保留早期方案，应明确标为早期方案并紧接当前最终名单。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直接对照 S1 的 Stage 2 → Changgui Kou 访谈  |  </w:t>
      </w:r>
      <w:hyperlink r:id="rId10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Entrepreneurship 页面</w:t>
        </w:r>
      </w:hyperlink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E08 风险表仍将当前产品称为四加一面板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Development Plans, Milestones, Resources and Risks → Risk Matrix and Mitigation → Table 4-3 → Product concentration 行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Single 4+1 Respirator Panel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表中继续使用 4+1 描述当前单一产品。结合本页概览卡的定义，这个标签指向四病毒一细菌的旧组合。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改为 Single five-pathogen respiratory panel，或明确为 2 viral targets + 3 bacterial targets；不要继续保留本页已定义的旧 4+1 标签。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对照 E04 以及 S1 至 S6  |  </w:t>
      </w:r>
      <w:hyperlink r:id="rId10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Entrepreneurship 页面</w:t>
        </w:r>
      </w:hyperlink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E09 长期影响段仍把肺炎链球菌作为四加一中的唯一细菌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Long-term Impacts → Positive Long-term Impacts → For primary doctors and fever clinics 段末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原文：</w:t>
      </w:r>
      <w:r>
        <w:rPr>
          <w:rFonts w:ascii="Noto Sans CJK SC" w:hAnsi="Noto Sans CJK SC" w:eastAsia="Noto Sans CJK SC" w:cs="Noto Sans CJK SC"/>
          <w:color w:val="000000"/>
          <w:sz w:val="19"/>
        </w:rPr>
        <w:t>include pneumococcus in 4+1 Panel.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000000"/>
        </w:rPr>
        <w:t>问题：</w:t>
      </w:r>
      <w:r>
        <w:rPr>
          <w:rFonts w:ascii="Noto Sans CJK SC" w:hAnsi="Noto Sans CJK SC" w:eastAsia="Noto Sans CJK SC" w:cs="Noto Sans CJK SC"/>
          <w:color w:val="000000"/>
        </w:rPr>
        <w:t>这里沿用旧 4+1 叙述，未体现当前还包含 BP、HI 两项细菌靶标。肺炎链球菌本身没有写错，错误在于面板组成和对专家建议的归纳口径。</w:t>
      </w:r>
    </w:p>
    <w:p>
      <w:pPr>
        <w:keepNext/>
        <w:spacing w:after="80"/>
      </w:pPr>
      <w:r>
        <w:rPr>
          <w:rFonts w:ascii="Noto Sans CJK SC" w:hAnsi="Noto Sans CJK SC" w:eastAsia="Noto Sans CJK SC" w:cs="Noto Sans CJK SC"/>
          <w:b/>
          <w:color w:val="000000"/>
        </w:rPr>
        <w:t>建议：</w:t>
      </w:r>
      <w:r>
        <w:rPr>
          <w:rFonts w:ascii="Noto Sans CJK SC" w:hAnsi="Noto Sans CJK SC" w:eastAsia="Noto Sans CJK SC" w:cs="Noto Sans CJK SC"/>
          <w:color w:val="000000"/>
        </w:rPr>
        <w:t>改为说明当前面板同时覆盖病毒与细菌，并列明 SPN、BP、HI 三项细菌靶标；需要保留早期决策历史时，应明确标注时间和方案阶段。</w:t>
      </w:r>
    </w:p>
    <w:p>
      <w:pPr>
        <w:spacing w:after="26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依据 S1 至 S6  |  </w:t>
      </w:r>
      <w:hyperlink r:id="rId10">
        <w:r>
          <w:rPr>
            <w:rFonts w:ascii="Noto Sans CJK SC" w:hAnsi="Noto Sans CJK SC" w:eastAsia="Noto Sans CJK SC"/>
            <w:color w:val="1F4E79"/>
            <w:sz w:val="18"/>
            <w:u w:val="single"/>
          </w:rPr>
          <w:t>打开 Entrepreneurship 页面</w:t>
        </w:r>
      </w:hyperlink>
    </w:p>
    <w:p>
      <w:r>
        <w:br w:type="page"/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需要联动检查的相关位置</w:t>
      </w:r>
    </w:p>
    <w:p>
      <w:pPr>
        <w:spacing w:after="180"/>
      </w:pPr>
      <w:r>
        <w:rPr>
          <w:rFonts w:ascii="Noto Sans CJK SC" w:hAnsi="Noto Sans CJK SC" w:eastAsia="Noto Sans CJK SC" w:cs="Noto Sans CJK SC"/>
          <w:color w:val="000000"/>
          <w:sz w:val="19"/>
        </w:rPr>
        <w:t>本页列出名称范围、背景材料和引用的配套调整，不计入前述 9 处名单或展示位置。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hMPV 的检测范围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EDU 主名单与第二张 hMPV 信息卡；创业页 E04、E05、E06、E07 的 hMPV 名称。</w:t>
      </w:r>
    </w:p>
    <w:p>
      <w:pPr>
        <w:spacing w:after="160"/>
      </w:pPr>
      <w:r>
        <w:rPr>
          <w:rFonts w:ascii="Noto Sans CJK SC" w:hAnsi="Noto Sans CJK SC" w:eastAsia="Noto Sans CJK SC" w:cs="Noto Sans CJK SC"/>
          <w:color w:val="000000"/>
        </w:rPr>
        <w:t>普通科普写 hMPV 可以成立；明确指本项目检测靶标时，应与 iHP、Parts、Results 一致写 hMPV-B。不要把面向 hMPV 的一般介绍直接表述成已验证覆盖所有亚型。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EDU 的两幅新冠趋势图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Scientific foundation → Figure 2 病例趋势；Figure 3 死亡趋势。</w:t>
      </w:r>
    </w:p>
    <w:p>
      <w:pPr>
        <w:spacing w:after="160"/>
      </w:pPr>
      <w:r>
        <w:rPr>
          <w:rFonts w:ascii="Noto Sans CJK SC" w:hAnsi="Noto Sans CJK SC" w:eastAsia="Noto Sans CJK SC" w:cs="Noto Sans CJK SC"/>
          <w:color w:val="000000"/>
        </w:rPr>
        <w:t>图题明确为 COVID-19 资料，不能仅因不在检测面板内就认定图有事实错误。若继续放在此处，应标明其为额外公共卫生背景，不属于当前五项靶标证据；若想展示本面板疾病负担，应另换匹配资料。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EDU 的参考文献与段内引用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页末 Scientific sources → [1] 新冠特征；[2] 新冠综述；[5] 流感流行病学，以及主名单后的 [1] 至 [4]。</w:t>
      </w:r>
    </w:p>
    <w:p>
      <w:pPr>
        <w:spacing w:after="160"/>
      </w:pPr>
      <w:r>
        <w:rPr>
          <w:rFonts w:ascii="Noto Sans CJK SC" w:hAnsi="Noto Sans CJK SC" w:eastAsia="Noto Sans CJK SC" w:cs="Noto Sans CJK SC"/>
          <w:color w:val="000000"/>
        </w:rPr>
        <w:t>三条文献本身不是菌名错误。修正主名单后，应补齐 BP、HI 的支持来源并复核 SPN 的 [6] 引用；新冠和流感文献只能支撑相应的一般背景，不能充当 BP、HI 的依据。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创业页未来扩展的表述</w:t>
      </w:r>
    </w:p>
    <w:p>
      <w:pPr>
        <w:spacing w:after="80"/>
      </w:pPr>
      <w:r>
        <w:rPr>
          <w:rFonts w:ascii="Noto Sans CJK SC" w:hAnsi="Noto Sans CJK SC" w:eastAsia="Noto Sans CJK SC" w:cs="Noto Sans CJK SC"/>
          <w:b/>
          <w:color w:val="000000"/>
          <w:sz w:val="19"/>
        </w:rPr>
        <w:t>位置：</w:t>
      </w:r>
      <w:r>
        <w:rPr>
          <w:rFonts w:ascii="Noto Sans CJK SC" w:hAnsi="Noto Sans CJK SC" w:eastAsia="Noto Sans CJK SC" w:cs="Noto Sans CJK SC"/>
          <w:color w:val="000000"/>
          <w:sz w:val="19"/>
        </w:rPr>
        <w:t>Product Development Roadmap → Phase III → “addition of SARS class”。</w:t>
      </w:r>
    </w:p>
    <w:p>
      <w:pPr>
        <w:spacing w:after="160"/>
      </w:pPr>
      <w:r>
        <w:rPr>
          <w:rFonts w:ascii="Noto Sans CJK SC" w:hAnsi="Noto Sans CJK SC" w:eastAsia="Noto Sans CJK SC" w:cs="Noto Sans CJK SC"/>
          <w:color w:val="000000"/>
        </w:rPr>
        <w:t>本页当前旧名单已含 COVID-19，未来又写加入 SARS，存在阶段混淆。将当前名单修正后，可作为未来扩展例子保留，但应写清具体拟扩展对象和未来验证状态；这不是已确认新增靶标。</w:t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可直接用于项目范围段的英文</w:t>
      </w:r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20"/>
        </w:rPr>
        <w:t>Our project targets five respiratory pathogens: respiratory syncytial virus (RSV), human metapneumovirus subtype B (hMPV-B), Streptococcus pneumoniae (SPN), Bordetella pertussis (BP), and Haemophilus influenzae (HI). The panel comprises two viral targets and three bacterial targets.</w:t>
      </w:r>
    </w:p>
    <w:p>
      <w:pPr>
        <w:spacing w:after="0"/>
      </w:pPr>
      <w:r>
        <w:rPr>
          <w:rFonts w:ascii="Noto Sans CJK SC" w:hAnsi="Noto Sans CJK SC" w:eastAsia="Noto Sans CJK SC" w:cs="Noto Sans CJK SC"/>
          <w:color w:val="000000"/>
          <w:sz w:val="19"/>
        </w:rPr>
        <w:t>若另行保留新冠和流感科普，建议增加说明：Additional respiratory-health education also discusses SARS-CoV-2 and influenza viruses; these are not included in the current ByeGerm detection panel.</w:t>
      </w:r>
    </w:p>
    <w:p>
      <w:r>
        <w:br w:type="page"/>
      </w:r>
    </w:p>
    <w:p>
      <w:pPr>
        <w:pStyle w:val="Heading1"/>
        <w:spacing w:after="160"/>
      </w:pPr>
      <w:r>
        <w:rPr>
          <w:rFonts w:ascii="Noto Sans CJK SC" w:hAnsi="Noto Sans CJK SC" w:eastAsia="Noto Sans CJK SC" w:cs="Noto Sans CJK SC"/>
          <w:color w:val="000000"/>
        </w:rPr>
        <w:t>直接对照依据与核查范围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S1  </w:t>
      </w:r>
      <w:hyperlink r:id="rId11">
        <w:r>
          <w:rPr>
            <w:rFonts w:ascii="Noto Sans CJK SC" w:hAnsi="Noto Sans CJK SC" w:eastAsia="Noto Sans CJK SC"/>
            <w:color w:val="1F4E79"/>
            <w:sz w:val="20"/>
            <w:u w:val="single"/>
          </w:rPr>
          <w:t>iHP</w:t>
        </w:r>
      </w:hyperlink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Stage 2 → Changgui Kou 访谈 → Dialogue 明确写出最终五项检测靶标。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S2  </w:t>
      </w:r>
      <w:hyperlink r:id="rId12">
        <w:r>
          <w:rPr>
            <w:rFonts w:ascii="Noto Sans CJK SC" w:hAnsi="Noto Sans CJK SC" w:eastAsia="Noto Sans CJK SC"/>
            <w:color w:val="1F4E79"/>
            <w:sz w:val="20"/>
            <w:u w:val="single"/>
          </w:rPr>
          <w:t>Description</w:t>
        </w:r>
      </w:hyperlink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Background and Challenges 写出 RSV、hMPV-B、SPN、BP、HI。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S3  </w:t>
      </w:r>
      <w:hyperlink r:id="rId13">
        <w:r>
          <w:rPr>
            <w:rFonts w:ascii="Noto Sans CJK SC" w:hAnsi="Noto Sans CJK SC" w:eastAsia="Noto Sans CJK SC"/>
            <w:color w:val="1F4E79"/>
            <w:sz w:val="20"/>
            <w:u w:val="single"/>
          </w:rPr>
          <w:t>Design</w:t>
        </w:r>
      </w:hyperlink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检测面板段与结果界面要求采用同一套五项名称。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S4  </w:t>
      </w:r>
      <w:hyperlink r:id="rId14">
        <w:r>
          <w:rPr>
            <w:rFonts w:ascii="Noto Sans CJK SC" w:hAnsi="Noto Sans CJK SC" w:eastAsia="Noto Sans CJK SC"/>
            <w:color w:val="1F4E79"/>
            <w:sz w:val="20"/>
            <w:u w:val="single"/>
          </w:rPr>
          <w:t>Parts</w:t>
        </w:r>
      </w:hyperlink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Pathogen-Specific Parts 与 Synthetic Target Templates 均列出上述五项；并分别列出 BP、HI 模板。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S5  </w:t>
      </w:r>
      <w:hyperlink r:id="rId15">
        <w:r>
          <w:rPr>
            <w:rFonts w:ascii="Noto Sans CJK SC" w:hAnsi="Noto Sans CJK SC" w:eastAsia="Noto Sans CJK SC"/>
            <w:color w:val="1F4E79"/>
            <w:sz w:val="20"/>
            <w:u w:val="single"/>
          </w:rPr>
          <w:t>Results</w:t>
        </w:r>
      </w:hyperlink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各实验区块依次为 RSV N、hMPV-B N、SPN-lytA、BP-IS1663、HI-ompP6。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S6  </w:t>
      </w:r>
      <w:hyperlink r:id="rId16">
        <w:r>
          <w:rPr>
            <w:rFonts w:ascii="Noto Sans CJK SC" w:hAnsi="Noto Sans CJK SC" w:eastAsia="Noto Sans CJK SC"/>
            <w:color w:val="1F4E79"/>
            <w:sz w:val="20"/>
            <w:u w:val="single"/>
          </w:rPr>
          <w:t>Measurement</w:t>
        </w:r>
      </w:hyperlink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Introduction 与第 4 至第 7 节的转移验证对应同一套五项面板。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S7  </w:t>
      </w:r>
      <w:hyperlink r:id="rId17">
        <w:r>
          <w:rPr>
            <w:rFonts w:ascii="Noto Sans CJK SC" w:hAnsi="Noto Sans CJK SC" w:eastAsia="Noto Sans CJK SC"/>
            <w:color w:val="1F4E79"/>
            <w:sz w:val="19"/>
            <w:u w:val="single"/>
          </w:rPr>
          <w:t>CDC  About Haemophilus influenzae Disease</w:t>
        </w:r>
      </w:hyperlink>
    </w:p>
    <w:p>
      <w:pPr>
        <w:spacing w:after="120"/>
      </w:pPr>
      <w:r>
        <w:rPr>
          <w:rFonts w:ascii="Noto Sans CJK SC" w:hAnsi="Noto Sans CJK SC" w:eastAsia="Noto Sans CJK SC" w:cs="Noto Sans CJK SC"/>
          <w:color w:val="000000"/>
          <w:sz w:val="19"/>
        </w:rPr>
        <w:t>说明 H. influenzae 是细菌，且不引起流感。</w:t>
      </w:r>
    </w:p>
    <w:p>
      <w:pPr>
        <w:spacing w:after="6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S8  </w:t>
      </w:r>
      <w:hyperlink r:id="rId18">
        <w:r>
          <w:rPr>
            <w:rFonts w:ascii="Noto Sans CJK SC" w:hAnsi="Noto Sans CJK SC" w:eastAsia="Noto Sans CJK SC"/>
            <w:color w:val="1F4E79"/>
            <w:sz w:val="19"/>
            <w:u w:val="single"/>
          </w:rPr>
          <w:t>CDC  About Whooping Cough</w:t>
        </w:r>
      </w:hyperlink>
    </w:p>
    <w:p>
      <w:pPr>
        <w:spacing w:after="120"/>
      </w:pPr>
      <w:r>
        <w:rPr>
          <w:rFonts w:ascii="Noto Sans CJK SC" w:hAnsi="Noto Sans CJK SC" w:eastAsia="Noto Sans CJK SC" w:cs="Noto Sans CJK SC"/>
          <w:color w:val="000000"/>
          <w:sz w:val="19"/>
        </w:rPr>
        <w:t>说明百日咳由 Bordetella pertussis 细菌引起。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不应误删的其他菌名与病毒名</w:t>
      </w:r>
    </w:p>
    <w:p>
      <w:pPr>
        <w:spacing w:after="140"/>
      </w:pPr>
      <w:r>
        <w:rPr>
          <w:rFonts w:ascii="Noto Sans CJK SC" w:hAnsi="Noto Sans CJK SC" w:eastAsia="Noto Sans CJK SC" w:cs="Noto Sans CJK SC"/>
          <w:color w:val="000000"/>
          <w:sz w:val="19"/>
        </w:rPr>
        <w:t>Protocol、Notebook、Measurement 中的新冠和甲流模拟质粒出现在特异性验证及非靶标对照语境，不是把它们列为本项目阳性检测面板。Design 的背景举例也不等于项目名单。Description、Design、Safety、Parts 中的大肠杆菌表达宿主及 LbCas12a 来源菌，同样不是检测靶标。</w:t>
      </w:r>
    </w:p>
    <w:p>
      <w:pPr>
        <w:pStyle w:val="Heading2"/>
        <w:spacing w:after="160"/>
      </w:pPr>
      <w:r>
        <w:rPr>
          <w:rFonts w:ascii="Noto Sans CJK SC" w:hAnsi="Noto Sans CJK SC" w:eastAsia="Noto Sans CJK SC" w:cs="Noto Sans CJK SC"/>
          <w:color w:val="000000"/>
        </w:rPr>
        <w:t>覆盖范围</w:t>
      </w:r>
    </w:p>
    <w:p>
      <w:pPr>
        <w:spacing w:after="100"/>
      </w:pPr>
      <w:r>
        <w:rPr>
          <w:rFonts w:ascii="Noto Sans CJK SC" w:hAnsi="Noto Sans CJK SC" w:eastAsia="Noto Sans CJK SC" w:cs="Noto Sans CJK SC"/>
          <w:color w:val="000000"/>
          <w:sz w:val="19"/>
        </w:rPr>
        <w:t>已核对 17 个相关页面：iHP、Education、Entrepreneurship、Homepage、Description、Design、Engineering、Safety、Contribution、Protocol、Notebook、Measurement、Parts、Results、Hardware、Software、Model。</w:t>
      </w:r>
    </w:p>
    <w:p>
      <w:pPr>
        <w:spacing w:after="100"/>
      </w:pPr>
      <w:r>
        <w:rPr>
          <w:rFonts w:ascii="Noto Sans CJK SC" w:hAnsi="Noto Sans CJK SC" w:eastAsia="Noto Sans CJK SC" w:cs="Noto Sans CJK SC"/>
          <w:color w:val="000000"/>
          <w:sz w:val="19"/>
        </w:rPr>
        <w:t>同时扫描 EDU 的 27 份公开 PDF 可提取文字，共 137 页：H01 至 H08、B01 至 B14、D01 活动方案，以及 Gene Wars 中英文快速指南与完整手册。未新增发现将新冠和流感列作当前五项靶标的文字位置。</w:t>
      </w:r>
    </w:p>
    <w:p>
      <w:pPr>
        <w:spacing w:after="0"/>
      </w:pPr>
      <w:r>
        <w:rPr>
          <w:rFonts w:ascii="Noto Sans CJK SC" w:hAnsi="Noto Sans CJK SC" w:eastAsia="Noto Sans CJK SC" w:cs="Noto Sans CJK SC"/>
          <w:color w:val="000000"/>
          <w:sz w:val="17"/>
        </w:rPr>
        <w:t>核查对象为上述预览站的当前网页正文、表格、标签、图题及 PDF 可提取文字。现场照片小字、视频和外部链接内容未作逐字全量辨认；网页更新后应按位置与原文重新复核。</w:t>
      </w:r>
    </w:p>
    <w:sectPr w:rsidR="00FC693F" w:rsidRPr="0006063C" w:rsidSect="00034616">
      <w:footerReference w:type="default" r:id="rId1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JLU SPH 名称核查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4" w:lineRule="exact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 w:line="46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640" w:lineRule="exact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lu-igem-wiki-preview.pages.dev/Eagagement/education" TargetMode="External"/><Relationship Id="rId10" Type="http://schemas.openxmlformats.org/officeDocument/2006/relationships/hyperlink" Target="https://jlu-igem-wiki-preview.pages.dev/Eagagement/entrepreneurship" TargetMode="External"/><Relationship Id="rId11" Type="http://schemas.openxmlformats.org/officeDocument/2006/relationships/hyperlink" Target="https://jlu-igem-wiki-preview.pages.dev/Eagagement/iHP" TargetMode="External"/><Relationship Id="rId12" Type="http://schemas.openxmlformats.org/officeDocument/2006/relationships/hyperlink" Target="https://jlu-igem-wiki-preview.pages.dev/Project/description" TargetMode="External"/><Relationship Id="rId13" Type="http://schemas.openxmlformats.org/officeDocument/2006/relationships/hyperlink" Target="https://jlu-igem-wiki-preview.pages.dev/Project/design" TargetMode="External"/><Relationship Id="rId14" Type="http://schemas.openxmlformats.org/officeDocument/2006/relationships/hyperlink" Target="https://jlu-igem-wiki-preview.pages.dev/Wet-lab/part" TargetMode="External"/><Relationship Id="rId15" Type="http://schemas.openxmlformats.org/officeDocument/2006/relationships/hyperlink" Target="https://jlu-igem-wiki-preview.pages.dev/Wet-lab/result" TargetMode="External"/><Relationship Id="rId16" Type="http://schemas.openxmlformats.org/officeDocument/2006/relationships/hyperlink" Target="https://jlu-igem-wiki-preview.pages.dev/Wet-lab/measurement?nav=judging" TargetMode="External"/><Relationship Id="rId17" Type="http://schemas.openxmlformats.org/officeDocument/2006/relationships/hyperlink" Target="https://www.cdc.gov/hi-disease/about/index.html" TargetMode="External"/><Relationship Id="rId18" Type="http://schemas.openxmlformats.org/officeDocument/2006/relationships/hyperlink" Target="https://www.cdc.gov/pertussis/about/index.html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JLU SPH 病原体名称一致性核查</dc:title>
  <dc:subject>EDU 与项目页面病原体名单逐处核对</dc:subject>
  <dc:creator/>
  <cp:keywords>JLU-SPH, Education, 病原体, 一致性核查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