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1AACC" w14:textId="4DB963F3" w:rsidR="00665F1B" w:rsidRPr="00665F1B" w:rsidRDefault="00665F1B" w:rsidP="00665F1B">
      <w:pPr>
        <w:spacing w:after="40"/>
        <w:jc w:val="center"/>
        <w:rPr>
          <w:rFonts w:ascii="Times New Roman" w:hAnsi="Times New Roman" w:cs="Times New Roman"/>
          <w:b/>
          <w:bCs/>
          <w:sz w:val="28"/>
          <w:szCs w:val="28"/>
        </w:rPr>
      </w:pPr>
      <w:r w:rsidRPr="00665F1B">
        <w:rPr>
          <w:rFonts w:ascii="Times New Roman" w:hAnsi="Times New Roman" w:cs="Times New Roman"/>
          <w:b/>
          <w:bCs/>
          <w:sz w:val="28"/>
          <w:szCs w:val="28"/>
        </w:rPr>
        <w:t>Task 1 Selection and Research</w:t>
      </w:r>
    </w:p>
    <w:p w14:paraId="56E3D762" w14:textId="37E38C90" w:rsidR="00AE29BA" w:rsidRPr="00AE29BA" w:rsidRDefault="00665F1B" w:rsidP="00665F1B">
      <w:pPr>
        <w:spacing w:after="40"/>
        <w:jc w:val="both"/>
        <w:rPr>
          <w:rFonts w:ascii="Times New Roman" w:hAnsi="Times New Roman" w:cs="Times New Roman"/>
          <w:b/>
          <w:bCs/>
          <w:sz w:val="24"/>
          <w:szCs w:val="24"/>
        </w:rPr>
      </w:pPr>
      <w:r w:rsidRPr="00665F1B">
        <w:rPr>
          <w:rFonts w:ascii="Times New Roman" w:hAnsi="Times New Roman" w:cs="Times New Roman"/>
          <w:b/>
          <w:bCs/>
          <w:sz w:val="24"/>
          <w:szCs w:val="24"/>
        </w:rPr>
        <w:t>1</w:t>
      </w:r>
      <w:r w:rsidR="00BF2961">
        <w:rPr>
          <w:rFonts w:ascii="Times New Roman" w:hAnsi="Times New Roman" w:cs="Times New Roman" w:hint="eastAsia"/>
          <w:b/>
          <w:bCs/>
          <w:sz w:val="24"/>
          <w:szCs w:val="24"/>
        </w:rPr>
        <w:t xml:space="preserve"> </w:t>
      </w:r>
      <w:r w:rsidR="00AE29BA" w:rsidRPr="00AE29BA">
        <w:rPr>
          <w:rFonts w:ascii="Times New Roman" w:hAnsi="Times New Roman" w:cs="Times New Roman"/>
          <w:b/>
          <w:bCs/>
          <w:sz w:val="24"/>
          <w:szCs w:val="24"/>
        </w:rPr>
        <w:t>Regulated Entity: Standard Chartered Bank PLC</w:t>
      </w:r>
    </w:p>
    <w:p w14:paraId="7DCABC0B" w14:textId="77777777" w:rsidR="00AE29BA" w:rsidRPr="00665F1B" w:rsidRDefault="00AE29BA" w:rsidP="00665F1B">
      <w:pPr>
        <w:spacing w:after="40"/>
        <w:jc w:val="both"/>
        <w:rPr>
          <w:rFonts w:ascii="Times New Roman" w:hAnsi="Times New Roman" w:cs="Times New Roman"/>
          <w:sz w:val="24"/>
          <w:szCs w:val="24"/>
        </w:rPr>
      </w:pPr>
      <w:r w:rsidRPr="00AE29BA">
        <w:rPr>
          <w:rFonts w:ascii="Times New Roman" w:hAnsi="Times New Roman" w:cs="Times New Roman"/>
          <w:sz w:val="24"/>
          <w:szCs w:val="24"/>
        </w:rPr>
        <w:t>Standard Chartered Bank PLC (LSE: STAN) is the chosen regulated entity for this assignment. It is a leading international banking group incorporated in England and Wales, headquartered in London, yet generating the majority of its revenue and profit across Asia, Africa, and the Middle East. Critically for this assignment, StanChart operates major regulated banking businesses in both the United States and Singapore — two jurisdictions that, between 2024 and 2026, have adopted sharply divergent regulatory postures toward AI/ML model governance. This dual-jurisdiction exposure creates a genuine, non</w:t>
      </w:r>
      <w:r w:rsidRPr="00AE29BA">
        <w:rPr>
          <w:rFonts w:ascii="Times New Roman" w:hAnsi="Times New Roman" w:cs="Times New Roman"/>
          <w:sz w:val="24"/>
          <w:szCs w:val="24"/>
        </w:rPr>
        <w:noBreakHyphen/>
        <w:t>trivial compliance problem that a RegTech tool must address.</w:t>
      </w:r>
    </w:p>
    <w:p w14:paraId="3AB76813" w14:textId="77777777" w:rsidR="00665F1B" w:rsidRPr="00AE29BA" w:rsidRDefault="00665F1B" w:rsidP="00665F1B">
      <w:pPr>
        <w:spacing w:after="40"/>
        <w:jc w:val="both"/>
        <w:rPr>
          <w:rFonts w:ascii="Times New Roman" w:hAnsi="Times New Roman" w:cs="Times New Roman"/>
          <w:sz w:val="24"/>
          <w:szCs w:val="24"/>
        </w:rPr>
      </w:pPr>
    </w:p>
    <w:p w14:paraId="659CE2FC" w14:textId="77777777" w:rsidR="00AE29BA" w:rsidRPr="00AE29BA" w:rsidRDefault="00AE29BA" w:rsidP="00665F1B">
      <w:pPr>
        <w:spacing w:after="40"/>
        <w:jc w:val="both"/>
        <w:rPr>
          <w:rFonts w:ascii="Times New Roman" w:hAnsi="Times New Roman" w:cs="Times New Roman"/>
          <w:b/>
          <w:bCs/>
          <w:sz w:val="24"/>
          <w:szCs w:val="24"/>
        </w:rPr>
      </w:pPr>
      <w:r w:rsidRPr="00AE29BA">
        <w:rPr>
          <w:rFonts w:ascii="Times New Roman" w:hAnsi="Times New Roman" w:cs="Times New Roman"/>
          <w:b/>
          <w:bCs/>
          <w:sz w:val="24"/>
          <w:szCs w:val="24"/>
        </w:rPr>
        <w:t>1.1 United States Operations</w:t>
      </w:r>
    </w:p>
    <w:p w14:paraId="4EBCDA74" w14:textId="77777777" w:rsidR="00AE29BA" w:rsidRPr="00AE29BA" w:rsidRDefault="00AE29BA" w:rsidP="00665F1B">
      <w:pPr>
        <w:spacing w:after="40"/>
        <w:jc w:val="both"/>
        <w:rPr>
          <w:rFonts w:ascii="Times New Roman" w:hAnsi="Times New Roman" w:cs="Times New Roman"/>
          <w:sz w:val="24"/>
          <w:szCs w:val="24"/>
        </w:rPr>
      </w:pPr>
      <w:r w:rsidRPr="00AE29BA">
        <w:rPr>
          <w:rFonts w:ascii="Times New Roman" w:hAnsi="Times New Roman" w:cs="Times New Roman"/>
          <w:sz w:val="24"/>
          <w:szCs w:val="24"/>
        </w:rPr>
        <w:t>In the US, Standard Chartered operates principally through its New York Branch, which is licensed and supervised by the Office of the Comptroller of the Currency (OCC) and the New York Department of Financial Services (NYDFS). The New York Branch is a wholesale banking operation focused on trade finance, structured finance, and financial markets. Its intermediate holding company, Standard Chartered Americas Holdings, Inc., is regulated by the Federal Reserve Board.</w:t>
      </w:r>
    </w:p>
    <w:p w14:paraId="3E15661D" w14:textId="77777777" w:rsidR="00AE29BA" w:rsidRPr="00AE29BA" w:rsidRDefault="00AE29BA" w:rsidP="00665F1B">
      <w:pPr>
        <w:spacing w:after="40"/>
        <w:jc w:val="both"/>
        <w:rPr>
          <w:rFonts w:ascii="Times New Roman" w:hAnsi="Times New Roman" w:cs="Times New Roman"/>
          <w:sz w:val="24"/>
          <w:szCs w:val="24"/>
        </w:rPr>
      </w:pPr>
      <w:r w:rsidRPr="00AE29BA">
        <w:rPr>
          <w:rFonts w:ascii="Times New Roman" w:hAnsi="Times New Roman" w:cs="Times New Roman"/>
          <w:sz w:val="24"/>
          <w:szCs w:val="24"/>
        </w:rPr>
        <w:t>The New York Branch is directly subject to OCC supervisory guidance, including OCC Bulletin 2026-13 (Model Risk Management, effective March 2026), the foundational MRM guidance OCC 2011-12 / SR 11-7, and anti</w:t>
      </w:r>
      <w:r w:rsidRPr="00AE29BA">
        <w:rPr>
          <w:rFonts w:ascii="Times New Roman" w:hAnsi="Times New Roman" w:cs="Times New Roman"/>
          <w:sz w:val="24"/>
          <w:szCs w:val="24"/>
        </w:rPr>
        <w:noBreakHyphen/>
        <w:t>money laundering requirements under the Bank Secrecy Act. Notably, OCC 2026-13 explicitly defers coverage of generative AI and agentic AI to future separate guidance — a deliberate regulatory choice to avoid stifling innovation.</w:t>
      </w:r>
    </w:p>
    <w:p w14:paraId="55FB356F" w14:textId="77777777" w:rsidR="00AE29BA" w:rsidRPr="00AE29BA" w:rsidRDefault="00AE29BA" w:rsidP="00665F1B">
      <w:pPr>
        <w:spacing w:after="40"/>
        <w:jc w:val="both"/>
        <w:rPr>
          <w:rFonts w:ascii="Times New Roman" w:hAnsi="Times New Roman" w:cs="Times New Roman"/>
          <w:sz w:val="24"/>
          <w:szCs w:val="24"/>
        </w:rPr>
      </w:pPr>
      <w:r w:rsidRPr="00AE29BA">
        <w:rPr>
          <w:rFonts w:ascii="Times New Roman" w:hAnsi="Times New Roman" w:cs="Times New Roman"/>
          <w:sz w:val="24"/>
          <w:szCs w:val="24"/>
        </w:rPr>
        <w:t>Key US regulatory footprint:</w:t>
      </w:r>
    </w:p>
    <w:p w14:paraId="213DC76E" w14:textId="77777777" w:rsidR="00AE29BA" w:rsidRPr="00AE29BA" w:rsidRDefault="00AE29BA" w:rsidP="00665F1B">
      <w:pPr>
        <w:numPr>
          <w:ilvl w:val="0"/>
          <w:numId w:val="4"/>
        </w:numPr>
        <w:spacing w:after="40"/>
        <w:jc w:val="both"/>
        <w:rPr>
          <w:rFonts w:ascii="Times New Roman" w:hAnsi="Times New Roman" w:cs="Times New Roman"/>
          <w:sz w:val="24"/>
          <w:szCs w:val="24"/>
        </w:rPr>
      </w:pPr>
      <w:r w:rsidRPr="00AE29BA">
        <w:rPr>
          <w:rFonts w:ascii="Times New Roman" w:hAnsi="Times New Roman" w:cs="Times New Roman"/>
          <w:sz w:val="24"/>
          <w:szCs w:val="24"/>
        </w:rPr>
        <w:t>Primary regulator: OCC</w:t>
      </w:r>
    </w:p>
    <w:p w14:paraId="5A189436" w14:textId="77777777" w:rsidR="00AE29BA" w:rsidRPr="00AE29BA" w:rsidRDefault="00AE29BA" w:rsidP="00665F1B">
      <w:pPr>
        <w:numPr>
          <w:ilvl w:val="0"/>
          <w:numId w:val="4"/>
        </w:numPr>
        <w:spacing w:after="40"/>
        <w:jc w:val="both"/>
        <w:rPr>
          <w:rFonts w:ascii="Times New Roman" w:hAnsi="Times New Roman" w:cs="Times New Roman"/>
          <w:sz w:val="24"/>
          <w:szCs w:val="24"/>
        </w:rPr>
      </w:pPr>
      <w:r w:rsidRPr="00AE29BA">
        <w:rPr>
          <w:rFonts w:ascii="Times New Roman" w:hAnsi="Times New Roman" w:cs="Times New Roman"/>
          <w:sz w:val="24"/>
          <w:szCs w:val="24"/>
        </w:rPr>
        <w:t>Secondary regulators: Federal Reserve Board (holding company), NYDFS, FinCEN</w:t>
      </w:r>
    </w:p>
    <w:p w14:paraId="7BFABFDE" w14:textId="77777777" w:rsidR="00AE29BA" w:rsidRPr="00AE29BA" w:rsidRDefault="00AE29BA" w:rsidP="00665F1B">
      <w:pPr>
        <w:numPr>
          <w:ilvl w:val="0"/>
          <w:numId w:val="4"/>
        </w:numPr>
        <w:spacing w:after="40"/>
        <w:jc w:val="both"/>
        <w:rPr>
          <w:rFonts w:ascii="Times New Roman" w:hAnsi="Times New Roman" w:cs="Times New Roman"/>
          <w:sz w:val="24"/>
          <w:szCs w:val="24"/>
        </w:rPr>
      </w:pPr>
      <w:r w:rsidRPr="00AE29BA">
        <w:rPr>
          <w:rFonts w:ascii="Times New Roman" w:hAnsi="Times New Roman" w:cs="Times New Roman"/>
          <w:sz w:val="24"/>
          <w:szCs w:val="24"/>
        </w:rPr>
        <w:t>Applicable MRM guidance: OCC 2026-13 (replacing SR 11-7 for many purposes)</w:t>
      </w:r>
    </w:p>
    <w:p w14:paraId="5B657B79" w14:textId="77777777" w:rsidR="00665F1B" w:rsidRPr="00665F1B" w:rsidRDefault="00665F1B" w:rsidP="00665F1B">
      <w:pPr>
        <w:spacing w:after="40"/>
        <w:jc w:val="both"/>
        <w:rPr>
          <w:rFonts w:ascii="Times New Roman" w:hAnsi="Times New Roman" w:cs="Times New Roman"/>
          <w:sz w:val="24"/>
          <w:szCs w:val="24"/>
        </w:rPr>
      </w:pPr>
    </w:p>
    <w:p w14:paraId="5D9FA933" w14:textId="292068E9" w:rsidR="00AE29BA" w:rsidRPr="00AE29BA" w:rsidRDefault="00AE29BA" w:rsidP="00665F1B">
      <w:pPr>
        <w:spacing w:after="40"/>
        <w:jc w:val="both"/>
        <w:rPr>
          <w:rFonts w:ascii="Times New Roman" w:hAnsi="Times New Roman" w:cs="Times New Roman"/>
          <w:b/>
          <w:bCs/>
          <w:sz w:val="24"/>
          <w:szCs w:val="24"/>
        </w:rPr>
      </w:pPr>
      <w:r w:rsidRPr="00AE29BA">
        <w:rPr>
          <w:rFonts w:ascii="Times New Roman" w:hAnsi="Times New Roman" w:cs="Times New Roman"/>
          <w:b/>
          <w:bCs/>
          <w:sz w:val="24"/>
          <w:szCs w:val="24"/>
        </w:rPr>
        <w:t>1.2 Singapore Operations</w:t>
      </w:r>
    </w:p>
    <w:p w14:paraId="512AE59D" w14:textId="77777777" w:rsidR="00AE29BA" w:rsidRPr="00AE29BA" w:rsidRDefault="00AE29BA" w:rsidP="00665F1B">
      <w:pPr>
        <w:spacing w:after="40"/>
        <w:jc w:val="both"/>
        <w:rPr>
          <w:rFonts w:ascii="Times New Roman" w:hAnsi="Times New Roman" w:cs="Times New Roman"/>
          <w:sz w:val="24"/>
          <w:szCs w:val="24"/>
        </w:rPr>
      </w:pPr>
      <w:r w:rsidRPr="00AE29BA">
        <w:rPr>
          <w:rFonts w:ascii="Times New Roman" w:hAnsi="Times New Roman" w:cs="Times New Roman"/>
          <w:sz w:val="24"/>
          <w:szCs w:val="24"/>
        </w:rPr>
        <w:t>Singapore is Standard Chartered’s largest market by profit contribution and the hub for its Asia</w:t>
      </w:r>
      <w:r w:rsidRPr="00AE29BA">
        <w:rPr>
          <w:rFonts w:ascii="Times New Roman" w:hAnsi="Times New Roman" w:cs="Times New Roman"/>
          <w:sz w:val="24"/>
          <w:szCs w:val="24"/>
        </w:rPr>
        <w:noBreakHyphen/>
        <w:t>Pacific operations. The locally incorporated subsidiary, Standard Chartered Bank (Singapore) Limited, holds a full bank licence issued by the Monetary Authority of Singapore (MAS). It employs over 10,000 people and deploys extensive AI/ML models across retail credit decisioning, AML/CFT transaction monitoring, fraud detection, and customer engagement scoring.</w:t>
      </w:r>
    </w:p>
    <w:p w14:paraId="75B79AF0" w14:textId="77777777" w:rsidR="00AE29BA" w:rsidRPr="00AE29BA" w:rsidRDefault="00AE29BA" w:rsidP="00665F1B">
      <w:pPr>
        <w:spacing w:after="40"/>
        <w:jc w:val="both"/>
        <w:rPr>
          <w:rFonts w:ascii="Times New Roman" w:hAnsi="Times New Roman" w:cs="Times New Roman"/>
          <w:sz w:val="24"/>
          <w:szCs w:val="24"/>
        </w:rPr>
      </w:pPr>
      <w:r w:rsidRPr="00AE29BA">
        <w:rPr>
          <w:rFonts w:ascii="Times New Roman" w:hAnsi="Times New Roman" w:cs="Times New Roman"/>
          <w:sz w:val="24"/>
          <w:szCs w:val="24"/>
        </w:rPr>
        <w:t>StanChart Singapore is subject to MAS’s full regulatory framework, including MAS Notice 626 (AML), the FEAT Principles (2018), MAS Guidelines on Fair Dealing, and — as of 2024 — the MAS Guidelines on AI Model Risk Management (AI MRM Guidelines). Unlike the US approach, MAS’s guidelines are technology</w:t>
      </w:r>
      <w:r w:rsidRPr="00AE29BA">
        <w:rPr>
          <w:rFonts w:ascii="Times New Roman" w:hAnsi="Times New Roman" w:cs="Times New Roman"/>
          <w:sz w:val="24"/>
          <w:szCs w:val="24"/>
        </w:rPr>
        <w:noBreakHyphen/>
        <w:t>neutral, explicitly covering all AI/ML including generative AI, foundation models, and large language models. Furthermore, Singapore’s Senior Manager Accountability Regime (SMAR) imposes personal accountability on named officers, a feature absent from US MRM guidance.</w:t>
      </w:r>
    </w:p>
    <w:p w14:paraId="1FBFE067" w14:textId="77777777" w:rsidR="00AE29BA" w:rsidRPr="00AE29BA" w:rsidRDefault="00AE29BA" w:rsidP="00665F1B">
      <w:pPr>
        <w:spacing w:after="40"/>
        <w:jc w:val="both"/>
        <w:rPr>
          <w:rFonts w:ascii="Times New Roman" w:hAnsi="Times New Roman" w:cs="Times New Roman"/>
          <w:sz w:val="24"/>
          <w:szCs w:val="24"/>
        </w:rPr>
      </w:pPr>
      <w:r w:rsidRPr="00AE29BA">
        <w:rPr>
          <w:rFonts w:ascii="Times New Roman" w:hAnsi="Times New Roman" w:cs="Times New Roman"/>
          <w:sz w:val="24"/>
          <w:szCs w:val="24"/>
        </w:rPr>
        <w:t>Key Singapore regulatory footprint:</w:t>
      </w:r>
    </w:p>
    <w:p w14:paraId="1F108299" w14:textId="77777777" w:rsidR="00AE29BA" w:rsidRPr="00AE29BA" w:rsidRDefault="00AE29BA" w:rsidP="00665F1B">
      <w:pPr>
        <w:numPr>
          <w:ilvl w:val="0"/>
          <w:numId w:val="5"/>
        </w:numPr>
        <w:spacing w:after="40"/>
        <w:jc w:val="both"/>
        <w:rPr>
          <w:rFonts w:ascii="Times New Roman" w:hAnsi="Times New Roman" w:cs="Times New Roman"/>
          <w:sz w:val="24"/>
          <w:szCs w:val="24"/>
        </w:rPr>
      </w:pPr>
      <w:r w:rsidRPr="00AE29BA">
        <w:rPr>
          <w:rFonts w:ascii="Times New Roman" w:hAnsi="Times New Roman" w:cs="Times New Roman"/>
          <w:sz w:val="24"/>
          <w:szCs w:val="24"/>
        </w:rPr>
        <w:t>Primary regulator: MAS</w:t>
      </w:r>
    </w:p>
    <w:p w14:paraId="576EDD61" w14:textId="77777777" w:rsidR="00AE29BA" w:rsidRPr="00AE29BA" w:rsidRDefault="00AE29BA" w:rsidP="00665F1B">
      <w:pPr>
        <w:numPr>
          <w:ilvl w:val="0"/>
          <w:numId w:val="5"/>
        </w:numPr>
        <w:spacing w:after="40"/>
        <w:jc w:val="both"/>
        <w:rPr>
          <w:rFonts w:ascii="Times New Roman" w:hAnsi="Times New Roman" w:cs="Times New Roman"/>
          <w:sz w:val="24"/>
          <w:szCs w:val="24"/>
        </w:rPr>
      </w:pPr>
      <w:r w:rsidRPr="00AE29BA">
        <w:rPr>
          <w:rFonts w:ascii="Times New Roman" w:hAnsi="Times New Roman" w:cs="Times New Roman"/>
          <w:sz w:val="24"/>
          <w:szCs w:val="24"/>
        </w:rPr>
        <w:t>Accountability regime: SMAR (individual-level liability)</w:t>
      </w:r>
    </w:p>
    <w:p w14:paraId="532FBC1C" w14:textId="77777777" w:rsidR="00AE29BA" w:rsidRPr="00AE29BA" w:rsidRDefault="00AE29BA" w:rsidP="00665F1B">
      <w:pPr>
        <w:numPr>
          <w:ilvl w:val="0"/>
          <w:numId w:val="5"/>
        </w:numPr>
        <w:spacing w:after="40"/>
        <w:jc w:val="both"/>
        <w:rPr>
          <w:rFonts w:ascii="Times New Roman" w:hAnsi="Times New Roman" w:cs="Times New Roman"/>
          <w:sz w:val="24"/>
          <w:szCs w:val="24"/>
        </w:rPr>
      </w:pPr>
      <w:r w:rsidRPr="00AE29BA">
        <w:rPr>
          <w:rFonts w:ascii="Times New Roman" w:hAnsi="Times New Roman" w:cs="Times New Roman"/>
          <w:sz w:val="24"/>
          <w:szCs w:val="24"/>
        </w:rPr>
        <w:t>Applicable MRM guidance: MAS 2024 AI MRM + FEAT Principles</w:t>
      </w:r>
    </w:p>
    <w:p w14:paraId="055B810E" w14:textId="77777777" w:rsidR="00665F1B" w:rsidRPr="00665F1B" w:rsidRDefault="00665F1B" w:rsidP="00665F1B">
      <w:pPr>
        <w:spacing w:after="40"/>
        <w:jc w:val="both"/>
        <w:rPr>
          <w:rFonts w:ascii="Times New Roman" w:hAnsi="Times New Roman" w:cs="Times New Roman"/>
          <w:sz w:val="24"/>
          <w:szCs w:val="24"/>
        </w:rPr>
      </w:pPr>
    </w:p>
    <w:p w14:paraId="69507142" w14:textId="5F3EC013" w:rsidR="00AE29BA" w:rsidRPr="00AE29BA" w:rsidRDefault="00AE29BA" w:rsidP="00665F1B">
      <w:pPr>
        <w:spacing w:after="40"/>
        <w:jc w:val="both"/>
        <w:rPr>
          <w:rFonts w:ascii="Times New Roman" w:hAnsi="Times New Roman" w:cs="Times New Roman"/>
          <w:b/>
          <w:bCs/>
          <w:sz w:val="24"/>
          <w:szCs w:val="24"/>
        </w:rPr>
      </w:pPr>
      <w:r w:rsidRPr="00AE29BA">
        <w:rPr>
          <w:rFonts w:ascii="Times New Roman" w:hAnsi="Times New Roman" w:cs="Times New Roman"/>
          <w:b/>
          <w:bCs/>
          <w:sz w:val="24"/>
          <w:szCs w:val="24"/>
        </w:rPr>
        <w:t>1.3 Rationale for Selecting StanChart</w:t>
      </w:r>
    </w:p>
    <w:p w14:paraId="4E15F12E" w14:textId="77777777" w:rsidR="00AE29BA" w:rsidRPr="00AE29BA" w:rsidRDefault="00AE29BA" w:rsidP="00665F1B">
      <w:pPr>
        <w:spacing w:after="40"/>
        <w:jc w:val="both"/>
        <w:rPr>
          <w:rFonts w:ascii="Times New Roman" w:hAnsi="Times New Roman" w:cs="Times New Roman"/>
          <w:sz w:val="24"/>
          <w:szCs w:val="24"/>
        </w:rPr>
      </w:pPr>
      <w:r w:rsidRPr="00AE29BA">
        <w:rPr>
          <w:rFonts w:ascii="Times New Roman" w:hAnsi="Times New Roman" w:cs="Times New Roman"/>
          <w:sz w:val="24"/>
          <w:szCs w:val="24"/>
        </w:rPr>
        <w:t>Three specific reasons justify this choice over alternatives such as JPMorgan Chase, HSBC, or DBS.</w:t>
      </w:r>
    </w:p>
    <w:p w14:paraId="4D1CF66B" w14:textId="77777777" w:rsidR="001E5083" w:rsidRDefault="001E5083" w:rsidP="001E5083">
      <w:pPr>
        <w:pStyle w:val="a4"/>
        <w:numPr>
          <w:ilvl w:val="0"/>
          <w:numId w:val="11"/>
        </w:numPr>
        <w:spacing w:after="40"/>
        <w:jc w:val="both"/>
        <w:rPr>
          <w:rFonts w:ascii="Times New Roman" w:hAnsi="Times New Roman" w:cs="Times New Roman"/>
          <w:sz w:val="24"/>
          <w:szCs w:val="24"/>
        </w:rPr>
      </w:pPr>
      <w:r w:rsidRPr="001E5083">
        <w:rPr>
          <w:rFonts w:ascii="Times New Roman" w:hAnsi="Times New Roman" w:cs="Times New Roman" w:hint="eastAsia"/>
          <w:sz w:val="24"/>
          <w:szCs w:val="24"/>
        </w:rPr>
        <w:t>G</w:t>
      </w:r>
      <w:r w:rsidR="00AE29BA" w:rsidRPr="001E5083">
        <w:rPr>
          <w:rFonts w:ascii="Times New Roman" w:hAnsi="Times New Roman" w:cs="Times New Roman"/>
          <w:sz w:val="24"/>
          <w:szCs w:val="24"/>
        </w:rPr>
        <w:t>enuine dual</w:t>
      </w:r>
      <w:r w:rsidR="00AE29BA" w:rsidRPr="001E5083">
        <w:rPr>
          <w:rFonts w:ascii="Times New Roman" w:hAnsi="Times New Roman" w:cs="Times New Roman"/>
          <w:sz w:val="24"/>
          <w:szCs w:val="24"/>
        </w:rPr>
        <w:noBreakHyphen/>
        <w:t xml:space="preserve">jurisdiction exposure. </w:t>
      </w:r>
    </w:p>
    <w:p w14:paraId="3AD24362" w14:textId="122268D9" w:rsidR="00AE29BA" w:rsidRPr="001E5083" w:rsidRDefault="00AE29BA" w:rsidP="001E5083">
      <w:pPr>
        <w:pStyle w:val="a4"/>
        <w:spacing w:after="40"/>
        <w:ind w:left="440"/>
        <w:jc w:val="both"/>
        <w:rPr>
          <w:rFonts w:ascii="Times New Roman" w:hAnsi="Times New Roman" w:cs="Times New Roman"/>
          <w:sz w:val="24"/>
          <w:szCs w:val="24"/>
        </w:rPr>
      </w:pPr>
      <w:r w:rsidRPr="001E5083">
        <w:rPr>
          <w:rFonts w:ascii="Times New Roman" w:hAnsi="Times New Roman" w:cs="Times New Roman"/>
          <w:sz w:val="24"/>
          <w:szCs w:val="24"/>
        </w:rPr>
        <w:lastRenderedPageBreak/>
        <w:t>StanChart’s New York Branch and Singapore subsidiary operate in the same sector (banking) under the same holding company, yet are subject to two regulatory frameworks that have made fundamentally different choices about AI/ML governance. This is not a hypothetical conflict — it creates real operational complexity for model risk officers who must maintain compliance on both sides of the same model deployment.</w:t>
      </w:r>
    </w:p>
    <w:p w14:paraId="41BF9A74" w14:textId="77777777" w:rsidR="001E5083" w:rsidRDefault="00AE29BA" w:rsidP="001E5083">
      <w:pPr>
        <w:pStyle w:val="a4"/>
        <w:numPr>
          <w:ilvl w:val="0"/>
          <w:numId w:val="11"/>
        </w:numPr>
        <w:spacing w:after="40"/>
        <w:jc w:val="both"/>
        <w:rPr>
          <w:rFonts w:ascii="Times New Roman" w:hAnsi="Times New Roman" w:cs="Times New Roman"/>
          <w:sz w:val="24"/>
          <w:szCs w:val="24"/>
        </w:rPr>
      </w:pPr>
      <w:r w:rsidRPr="001E5083">
        <w:rPr>
          <w:rFonts w:ascii="Times New Roman" w:hAnsi="Times New Roman" w:cs="Times New Roman"/>
          <w:sz w:val="24"/>
          <w:szCs w:val="24"/>
        </w:rPr>
        <w:t xml:space="preserve">AI/ML intensity. </w:t>
      </w:r>
    </w:p>
    <w:p w14:paraId="2F6FDFFE" w14:textId="34768456" w:rsidR="00AE29BA" w:rsidRPr="001E5083" w:rsidRDefault="00AE29BA" w:rsidP="001E5083">
      <w:pPr>
        <w:pStyle w:val="a4"/>
        <w:spacing w:after="40"/>
        <w:ind w:left="440"/>
        <w:jc w:val="both"/>
        <w:rPr>
          <w:rFonts w:ascii="Times New Roman" w:hAnsi="Times New Roman" w:cs="Times New Roman"/>
          <w:sz w:val="24"/>
          <w:szCs w:val="24"/>
        </w:rPr>
      </w:pPr>
      <w:r w:rsidRPr="001E5083">
        <w:rPr>
          <w:rFonts w:ascii="Times New Roman" w:hAnsi="Times New Roman" w:cs="Times New Roman"/>
          <w:sz w:val="24"/>
          <w:szCs w:val="24"/>
        </w:rPr>
        <w:t>StanChart has publicly disclosed extensive AI/ML deployment in both retail credit and AML, including named initiatives such as the SC Ventures AI Lab and AI</w:t>
      </w:r>
      <w:r w:rsidRPr="001E5083">
        <w:rPr>
          <w:rFonts w:ascii="Times New Roman" w:hAnsi="Times New Roman" w:cs="Times New Roman"/>
          <w:sz w:val="24"/>
          <w:szCs w:val="24"/>
        </w:rPr>
        <w:noBreakHyphen/>
        <w:t>driven credit underwriting. Model risk management is therefore a live operational domain, not a theoretical exercise. The bank’s own disclosures confirm that MRM is already a board</w:t>
      </w:r>
      <w:r w:rsidRPr="001E5083">
        <w:rPr>
          <w:rFonts w:ascii="Times New Roman" w:hAnsi="Times New Roman" w:cs="Times New Roman"/>
          <w:sz w:val="24"/>
          <w:szCs w:val="24"/>
        </w:rPr>
        <w:noBreakHyphen/>
        <w:t>level concern.</w:t>
      </w:r>
    </w:p>
    <w:p w14:paraId="4178225A" w14:textId="77777777" w:rsidR="001E5083" w:rsidRDefault="001E5083" w:rsidP="001E5083">
      <w:pPr>
        <w:pStyle w:val="a4"/>
        <w:numPr>
          <w:ilvl w:val="0"/>
          <w:numId w:val="11"/>
        </w:numPr>
        <w:spacing w:after="40"/>
        <w:jc w:val="both"/>
        <w:rPr>
          <w:rFonts w:ascii="Times New Roman" w:hAnsi="Times New Roman" w:cs="Times New Roman"/>
          <w:sz w:val="24"/>
          <w:szCs w:val="24"/>
        </w:rPr>
      </w:pPr>
      <w:r>
        <w:rPr>
          <w:rFonts w:ascii="Times New Roman" w:hAnsi="Times New Roman" w:cs="Times New Roman" w:hint="eastAsia"/>
          <w:sz w:val="24"/>
          <w:szCs w:val="24"/>
        </w:rPr>
        <w:t>R</w:t>
      </w:r>
      <w:r w:rsidR="00AE29BA" w:rsidRPr="001E5083">
        <w:rPr>
          <w:rFonts w:ascii="Times New Roman" w:hAnsi="Times New Roman" w:cs="Times New Roman"/>
          <w:sz w:val="24"/>
          <w:szCs w:val="24"/>
        </w:rPr>
        <w:t xml:space="preserve">egulatory salience. </w:t>
      </w:r>
    </w:p>
    <w:p w14:paraId="4107B741" w14:textId="38CAAD8A" w:rsidR="00AE29BA" w:rsidRPr="00AE29BA" w:rsidRDefault="00AE29BA" w:rsidP="001E5083">
      <w:pPr>
        <w:pStyle w:val="a4"/>
        <w:spacing w:after="40"/>
        <w:ind w:left="440"/>
        <w:jc w:val="both"/>
        <w:rPr>
          <w:rFonts w:ascii="Times New Roman" w:hAnsi="Times New Roman" w:cs="Times New Roman"/>
          <w:sz w:val="24"/>
          <w:szCs w:val="24"/>
        </w:rPr>
      </w:pPr>
      <w:r w:rsidRPr="001E5083">
        <w:rPr>
          <w:rFonts w:ascii="Times New Roman" w:hAnsi="Times New Roman" w:cs="Times New Roman"/>
          <w:sz w:val="24"/>
          <w:szCs w:val="24"/>
        </w:rPr>
        <w:t>StanChart has been subject to OCC and MAS supervisory attention in recent years (including past enforcement actions on AML and compliance controls). This makes it a realistic subject for a RegTech tool that must simultaneously navigate both regulators’ expectations. A tool that works for a lightly supervised entity would not demonstrate robustness; StanChart’s profile ensures the compliance problem is material.</w:t>
      </w:r>
    </w:p>
    <w:p w14:paraId="28BD31AA" w14:textId="77777777" w:rsidR="00665F1B" w:rsidRPr="00665F1B" w:rsidRDefault="00665F1B" w:rsidP="00665F1B">
      <w:pPr>
        <w:widowControl/>
        <w:jc w:val="both"/>
        <w:rPr>
          <w:rFonts w:ascii="Times New Roman" w:hAnsi="Times New Roman" w:cs="Times New Roman"/>
          <w:sz w:val="24"/>
          <w:szCs w:val="24"/>
        </w:rPr>
      </w:pPr>
      <w:r w:rsidRPr="00665F1B">
        <w:rPr>
          <w:rFonts w:ascii="Times New Roman" w:hAnsi="Times New Roman" w:cs="Times New Roman"/>
          <w:sz w:val="24"/>
          <w:szCs w:val="24"/>
        </w:rPr>
        <w:br w:type="page"/>
      </w:r>
    </w:p>
    <w:p w14:paraId="600E04AA" w14:textId="68439C73" w:rsidR="00AE29BA" w:rsidRPr="00AE29BA" w:rsidRDefault="00665F1B" w:rsidP="00665F1B">
      <w:pPr>
        <w:spacing w:after="40"/>
        <w:jc w:val="both"/>
        <w:rPr>
          <w:rFonts w:ascii="Times New Roman" w:hAnsi="Times New Roman" w:cs="Times New Roman"/>
          <w:b/>
          <w:bCs/>
          <w:sz w:val="24"/>
          <w:szCs w:val="24"/>
        </w:rPr>
      </w:pPr>
      <w:r w:rsidRPr="00665F1B">
        <w:rPr>
          <w:rFonts w:ascii="Times New Roman" w:hAnsi="Times New Roman" w:cs="Times New Roman"/>
          <w:b/>
          <w:bCs/>
          <w:sz w:val="24"/>
          <w:szCs w:val="24"/>
        </w:rPr>
        <w:lastRenderedPageBreak/>
        <w:t>2</w:t>
      </w:r>
      <w:r w:rsidR="00BF2961">
        <w:rPr>
          <w:rFonts w:ascii="Times New Roman" w:hAnsi="Times New Roman" w:cs="Times New Roman" w:hint="eastAsia"/>
          <w:b/>
          <w:bCs/>
          <w:sz w:val="24"/>
          <w:szCs w:val="24"/>
        </w:rPr>
        <w:t xml:space="preserve"> </w:t>
      </w:r>
      <w:r w:rsidR="00AE29BA" w:rsidRPr="00AE29BA">
        <w:rPr>
          <w:rFonts w:ascii="Times New Roman" w:hAnsi="Times New Roman" w:cs="Times New Roman"/>
          <w:b/>
          <w:bCs/>
          <w:sz w:val="24"/>
          <w:szCs w:val="24"/>
        </w:rPr>
        <w:t>Compliance Domain: Model Risk Management (AI/ML)</w:t>
      </w:r>
    </w:p>
    <w:p w14:paraId="14D5D59D" w14:textId="77777777" w:rsidR="00AE29BA" w:rsidRPr="00AE29BA" w:rsidRDefault="00AE29BA" w:rsidP="00665F1B">
      <w:pPr>
        <w:spacing w:after="40"/>
        <w:jc w:val="both"/>
        <w:rPr>
          <w:rFonts w:ascii="Times New Roman" w:hAnsi="Times New Roman" w:cs="Times New Roman"/>
          <w:sz w:val="24"/>
          <w:szCs w:val="24"/>
        </w:rPr>
      </w:pPr>
      <w:r w:rsidRPr="00AE29BA">
        <w:rPr>
          <w:rFonts w:ascii="Times New Roman" w:hAnsi="Times New Roman" w:cs="Times New Roman"/>
          <w:b/>
          <w:bCs/>
          <w:sz w:val="24"/>
          <w:szCs w:val="24"/>
        </w:rPr>
        <w:t>2.1 Domain Definition and Selection Rationale</w:t>
      </w:r>
    </w:p>
    <w:p w14:paraId="6A709211" w14:textId="77777777" w:rsidR="00AE29BA" w:rsidRPr="00AE29BA" w:rsidRDefault="00AE29BA" w:rsidP="00665F1B">
      <w:pPr>
        <w:spacing w:after="40"/>
        <w:jc w:val="both"/>
        <w:rPr>
          <w:rFonts w:ascii="Times New Roman" w:hAnsi="Times New Roman" w:cs="Times New Roman"/>
          <w:sz w:val="24"/>
          <w:szCs w:val="24"/>
        </w:rPr>
      </w:pPr>
      <w:r w:rsidRPr="00AE29BA">
        <w:rPr>
          <w:rFonts w:ascii="Times New Roman" w:hAnsi="Times New Roman" w:cs="Times New Roman"/>
          <w:sz w:val="24"/>
          <w:szCs w:val="24"/>
        </w:rPr>
        <w:t>Model Risk Management (MRM) governs how AI/ML models — including those used for credit scoring, AML detection, and fraud prevention — are validated, monitored, and documented throughout their lifecycle. It is the domain most directly impacted by the 2024–2026 regulatory developments in both the US and Singapore.</w:t>
      </w:r>
    </w:p>
    <w:p w14:paraId="7BA0928E" w14:textId="54736EDE" w:rsidR="00AE29BA" w:rsidRPr="00AE29BA" w:rsidRDefault="00AE29BA" w:rsidP="00665F1B">
      <w:pPr>
        <w:spacing w:after="40"/>
        <w:jc w:val="both"/>
        <w:rPr>
          <w:rFonts w:ascii="Times New Roman" w:hAnsi="Times New Roman" w:cs="Times New Roman"/>
          <w:sz w:val="24"/>
          <w:szCs w:val="24"/>
        </w:rPr>
      </w:pPr>
      <w:r w:rsidRPr="00AE29BA">
        <w:rPr>
          <w:rFonts w:ascii="Times New Roman" w:hAnsi="Times New Roman" w:cs="Times New Roman"/>
          <w:sz w:val="24"/>
          <w:szCs w:val="24"/>
        </w:rPr>
        <w:t>MRM was preferred over more narrowly scoped domains for two architectural reasons. First, MRM is cross</w:t>
      </w:r>
      <w:r w:rsidRPr="00AE29BA">
        <w:rPr>
          <w:rFonts w:ascii="Times New Roman" w:hAnsi="Times New Roman" w:cs="Times New Roman"/>
          <w:sz w:val="24"/>
          <w:szCs w:val="24"/>
        </w:rPr>
        <w:noBreakHyphen/>
        <w:t>cutting: it governs how AML models and credit scoring models are themselves managed. A tool that addresses MRM sits at a higher, more powerful layer of the compliance stack. Second, the regulatory divergence between OCC 2026-13 and MAS 2024 AI MRM is sharpest and most specific in MRM — particularly around the scope of covered technologies (GenAI exclusion in the US vs. inclusion in Singapore) and the nature of accountability (institutional vs. personal).</w:t>
      </w:r>
    </w:p>
    <w:p w14:paraId="19A5CE63" w14:textId="77777777" w:rsidR="00665F1B" w:rsidRPr="00665F1B" w:rsidRDefault="00665F1B" w:rsidP="00665F1B">
      <w:pPr>
        <w:spacing w:after="40"/>
        <w:jc w:val="both"/>
        <w:rPr>
          <w:rFonts w:ascii="Times New Roman" w:hAnsi="Times New Roman" w:cs="Times New Roman"/>
          <w:sz w:val="24"/>
          <w:szCs w:val="24"/>
        </w:rPr>
      </w:pPr>
    </w:p>
    <w:p w14:paraId="5A233F81" w14:textId="43045E63" w:rsidR="00AE29BA" w:rsidRPr="00AE29BA" w:rsidRDefault="00AE29BA" w:rsidP="00665F1B">
      <w:pPr>
        <w:spacing w:after="40"/>
        <w:jc w:val="both"/>
        <w:rPr>
          <w:rFonts w:ascii="Times New Roman" w:hAnsi="Times New Roman" w:cs="Times New Roman"/>
          <w:b/>
          <w:bCs/>
          <w:sz w:val="24"/>
          <w:szCs w:val="24"/>
        </w:rPr>
      </w:pPr>
      <w:r w:rsidRPr="00AE29BA">
        <w:rPr>
          <w:rFonts w:ascii="Times New Roman" w:hAnsi="Times New Roman" w:cs="Times New Roman"/>
          <w:b/>
          <w:bCs/>
          <w:sz w:val="24"/>
          <w:szCs w:val="24"/>
        </w:rPr>
        <w:t>2.2 The Political Divergence: What Regulators Have Chosen Differently</w:t>
      </w:r>
    </w:p>
    <w:p w14:paraId="154823B0" w14:textId="53F252AC" w:rsidR="00AE29BA" w:rsidRPr="00AE29BA" w:rsidRDefault="00AE29BA" w:rsidP="00665F1B">
      <w:pPr>
        <w:spacing w:after="40"/>
        <w:jc w:val="both"/>
        <w:rPr>
          <w:rFonts w:ascii="Times New Roman" w:hAnsi="Times New Roman" w:cs="Times New Roman"/>
          <w:sz w:val="24"/>
          <w:szCs w:val="24"/>
        </w:rPr>
      </w:pPr>
      <w:r w:rsidRPr="00AE29BA">
        <w:rPr>
          <w:rFonts w:ascii="Times New Roman" w:hAnsi="Times New Roman" w:cs="Times New Roman"/>
          <w:sz w:val="24"/>
          <w:szCs w:val="24"/>
        </w:rPr>
        <w:t>The core divergence between the US and Singapore is not technical — it is about who bears accountability, which technologies are regulated, and how tightly. Rather than reproducing a table, the key differences can be summari</w:t>
      </w:r>
      <w:r w:rsidR="00665F1B" w:rsidRPr="00665F1B">
        <w:rPr>
          <w:rFonts w:ascii="Times New Roman" w:hAnsi="Times New Roman" w:cs="Times New Roman" w:hint="eastAsia"/>
          <w:sz w:val="24"/>
          <w:szCs w:val="24"/>
        </w:rPr>
        <w:t>z</w:t>
      </w:r>
      <w:r w:rsidRPr="00AE29BA">
        <w:rPr>
          <w:rFonts w:ascii="Times New Roman" w:hAnsi="Times New Roman" w:cs="Times New Roman"/>
          <w:sz w:val="24"/>
          <w:szCs w:val="24"/>
        </w:rPr>
        <w:t xml:space="preserve">ed along </w:t>
      </w:r>
      <w:r w:rsidR="00665F1B" w:rsidRPr="00665F1B">
        <w:rPr>
          <w:rFonts w:ascii="Times New Roman" w:hAnsi="Times New Roman" w:cs="Times New Roman" w:hint="eastAsia"/>
          <w:sz w:val="24"/>
          <w:szCs w:val="24"/>
        </w:rPr>
        <w:t>6</w:t>
      </w:r>
      <w:r w:rsidRPr="00AE29BA">
        <w:rPr>
          <w:rFonts w:ascii="Times New Roman" w:hAnsi="Times New Roman" w:cs="Times New Roman"/>
          <w:sz w:val="24"/>
          <w:szCs w:val="24"/>
        </w:rPr>
        <w:t xml:space="preserve"> dimensions.</w:t>
      </w:r>
    </w:p>
    <w:p w14:paraId="13237687" w14:textId="632F2D19" w:rsidR="00665F1B" w:rsidRPr="00665F1B" w:rsidRDefault="00AE29BA" w:rsidP="00665F1B">
      <w:pPr>
        <w:pStyle w:val="a4"/>
        <w:numPr>
          <w:ilvl w:val="0"/>
          <w:numId w:val="7"/>
        </w:numPr>
        <w:spacing w:after="40"/>
        <w:jc w:val="both"/>
        <w:rPr>
          <w:rFonts w:ascii="Times New Roman" w:hAnsi="Times New Roman" w:cs="Times New Roman"/>
          <w:sz w:val="24"/>
          <w:szCs w:val="24"/>
        </w:rPr>
      </w:pPr>
      <w:r w:rsidRPr="00665F1B">
        <w:rPr>
          <w:rFonts w:ascii="Times New Roman" w:hAnsi="Times New Roman" w:cs="Times New Roman"/>
          <w:sz w:val="24"/>
          <w:szCs w:val="24"/>
        </w:rPr>
        <w:t>Regulatory scope</w:t>
      </w:r>
      <w:r w:rsidR="00665F1B" w:rsidRPr="00665F1B">
        <w:rPr>
          <w:rFonts w:ascii="Times New Roman" w:hAnsi="Times New Roman" w:cs="Times New Roman" w:hint="eastAsia"/>
          <w:sz w:val="24"/>
          <w:szCs w:val="24"/>
        </w:rPr>
        <w:t>:</w:t>
      </w:r>
    </w:p>
    <w:p w14:paraId="0B8DD907" w14:textId="3E4C609F" w:rsidR="00AE29BA" w:rsidRPr="00665F1B" w:rsidRDefault="00AE29BA" w:rsidP="00665F1B">
      <w:pPr>
        <w:pStyle w:val="a4"/>
        <w:spacing w:after="40"/>
        <w:ind w:left="440"/>
        <w:jc w:val="both"/>
        <w:rPr>
          <w:rFonts w:ascii="Times New Roman" w:hAnsi="Times New Roman" w:cs="Times New Roman"/>
          <w:sz w:val="24"/>
          <w:szCs w:val="24"/>
        </w:rPr>
      </w:pPr>
      <w:r w:rsidRPr="00665F1B">
        <w:rPr>
          <w:rFonts w:ascii="Times New Roman" w:hAnsi="Times New Roman" w:cs="Times New Roman"/>
          <w:sz w:val="24"/>
          <w:szCs w:val="24"/>
        </w:rPr>
        <w:t>The US (OCC 2026-13) explicitly defers generative AI to future guidance, covering only traditional machine learning for now. Singapore (MAS 2024) adopts a technology</w:t>
      </w:r>
      <w:r w:rsidRPr="00665F1B">
        <w:rPr>
          <w:rFonts w:ascii="Times New Roman" w:hAnsi="Times New Roman" w:cs="Times New Roman"/>
          <w:sz w:val="24"/>
          <w:szCs w:val="24"/>
        </w:rPr>
        <w:noBreakHyphen/>
        <w:t>neutral stance, covering all AI/ML including GenAI, foundation models, and LLMs. The US chose innovation protection over regulatory completeness; Singapore chose coverage over speed.</w:t>
      </w:r>
    </w:p>
    <w:p w14:paraId="17780677" w14:textId="790CACDE" w:rsidR="00665F1B" w:rsidRPr="00665F1B" w:rsidRDefault="00AE29BA" w:rsidP="00665F1B">
      <w:pPr>
        <w:pStyle w:val="a4"/>
        <w:numPr>
          <w:ilvl w:val="0"/>
          <w:numId w:val="7"/>
        </w:numPr>
        <w:spacing w:after="40"/>
        <w:jc w:val="both"/>
        <w:rPr>
          <w:rFonts w:ascii="Times New Roman" w:hAnsi="Times New Roman" w:cs="Times New Roman"/>
          <w:sz w:val="24"/>
          <w:szCs w:val="24"/>
        </w:rPr>
      </w:pPr>
      <w:r w:rsidRPr="00665F1B">
        <w:rPr>
          <w:rFonts w:ascii="Times New Roman" w:hAnsi="Times New Roman" w:cs="Times New Roman"/>
          <w:sz w:val="24"/>
          <w:szCs w:val="24"/>
        </w:rPr>
        <w:t>Regulatory philosophy</w:t>
      </w:r>
      <w:r w:rsidR="00665F1B" w:rsidRPr="00665F1B">
        <w:rPr>
          <w:rFonts w:ascii="Times New Roman" w:hAnsi="Times New Roman" w:cs="Times New Roman" w:hint="eastAsia"/>
          <w:sz w:val="24"/>
          <w:szCs w:val="24"/>
        </w:rPr>
        <w:t>:</w:t>
      </w:r>
    </w:p>
    <w:p w14:paraId="5BCB9CF6" w14:textId="5286C673" w:rsidR="00AE29BA" w:rsidRPr="00665F1B" w:rsidRDefault="00AE29BA" w:rsidP="00665F1B">
      <w:pPr>
        <w:pStyle w:val="a4"/>
        <w:spacing w:after="40"/>
        <w:ind w:left="440"/>
        <w:jc w:val="both"/>
        <w:rPr>
          <w:rFonts w:ascii="Times New Roman" w:hAnsi="Times New Roman" w:cs="Times New Roman"/>
          <w:sz w:val="24"/>
          <w:szCs w:val="24"/>
        </w:rPr>
      </w:pPr>
      <w:r w:rsidRPr="00665F1B">
        <w:rPr>
          <w:rFonts w:ascii="Times New Roman" w:hAnsi="Times New Roman" w:cs="Times New Roman"/>
          <w:sz w:val="24"/>
          <w:szCs w:val="24"/>
        </w:rPr>
        <w:t>The US retains a prescriptive, risk</w:t>
      </w:r>
      <w:r w:rsidRPr="00665F1B">
        <w:rPr>
          <w:rFonts w:ascii="Times New Roman" w:hAnsi="Times New Roman" w:cs="Times New Roman"/>
          <w:sz w:val="24"/>
          <w:szCs w:val="24"/>
        </w:rPr>
        <w:noBreakHyphen/>
        <w:t>tiered approach (Tier 1 / Tier 2 classifications with specific attached requirements). Singapore follows principles</w:t>
      </w:r>
      <w:r w:rsidRPr="00665F1B">
        <w:rPr>
          <w:rFonts w:ascii="Times New Roman" w:hAnsi="Times New Roman" w:cs="Times New Roman"/>
          <w:sz w:val="24"/>
          <w:szCs w:val="24"/>
        </w:rPr>
        <w:noBreakHyphen/>
        <w:t>based regulation via five FEAT principles (Fairness, Ethics, Accountability, Transparency). This reflects deeper legal cultures: the US tradition of specific rule</w:t>
      </w:r>
      <w:r w:rsidRPr="00665F1B">
        <w:rPr>
          <w:rFonts w:ascii="Times New Roman" w:hAnsi="Times New Roman" w:cs="Times New Roman"/>
          <w:sz w:val="24"/>
          <w:szCs w:val="24"/>
        </w:rPr>
        <w:noBreakHyphen/>
        <w:t>based regulation versus Singapore’s outcome</w:t>
      </w:r>
      <w:r w:rsidRPr="00665F1B">
        <w:rPr>
          <w:rFonts w:ascii="Times New Roman" w:hAnsi="Times New Roman" w:cs="Times New Roman"/>
          <w:sz w:val="24"/>
          <w:szCs w:val="24"/>
        </w:rPr>
        <w:noBreakHyphen/>
        <w:t>based principles.</w:t>
      </w:r>
    </w:p>
    <w:p w14:paraId="552CCD29" w14:textId="5CB981D4" w:rsidR="00665F1B" w:rsidRPr="00665F1B" w:rsidRDefault="00AE29BA" w:rsidP="00665F1B">
      <w:pPr>
        <w:pStyle w:val="a4"/>
        <w:numPr>
          <w:ilvl w:val="0"/>
          <w:numId w:val="7"/>
        </w:numPr>
        <w:spacing w:after="40"/>
        <w:jc w:val="both"/>
        <w:rPr>
          <w:rFonts w:ascii="Times New Roman" w:hAnsi="Times New Roman" w:cs="Times New Roman"/>
          <w:sz w:val="24"/>
          <w:szCs w:val="24"/>
        </w:rPr>
      </w:pPr>
      <w:r w:rsidRPr="00665F1B">
        <w:rPr>
          <w:rFonts w:ascii="Times New Roman" w:hAnsi="Times New Roman" w:cs="Times New Roman"/>
          <w:sz w:val="24"/>
          <w:szCs w:val="24"/>
        </w:rPr>
        <w:t>Senior accountability</w:t>
      </w:r>
      <w:r w:rsidR="00665F1B" w:rsidRPr="00665F1B">
        <w:rPr>
          <w:rFonts w:ascii="Times New Roman" w:hAnsi="Times New Roman" w:cs="Times New Roman" w:hint="eastAsia"/>
          <w:sz w:val="24"/>
          <w:szCs w:val="24"/>
        </w:rPr>
        <w:t>:</w:t>
      </w:r>
    </w:p>
    <w:p w14:paraId="2D5164C8" w14:textId="56855C25" w:rsidR="00AE29BA" w:rsidRPr="00665F1B" w:rsidRDefault="00AE29BA" w:rsidP="00665F1B">
      <w:pPr>
        <w:pStyle w:val="a4"/>
        <w:spacing w:after="40"/>
        <w:ind w:left="440"/>
        <w:jc w:val="both"/>
        <w:rPr>
          <w:rFonts w:ascii="Times New Roman" w:hAnsi="Times New Roman" w:cs="Times New Roman"/>
          <w:sz w:val="24"/>
          <w:szCs w:val="24"/>
        </w:rPr>
      </w:pPr>
      <w:r w:rsidRPr="00665F1B">
        <w:rPr>
          <w:rFonts w:ascii="Times New Roman" w:hAnsi="Times New Roman" w:cs="Times New Roman"/>
          <w:sz w:val="24"/>
          <w:szCs w:val="24"/>
        </w:rPr>
        <w:t>Under OCC 2026-13, accountability remains institutional: the board and management approve MRM policy, but no named individual is statutorily responsible for AI model failures. In Singapore, SMAR requires a named officer to be personally accountable, and MAS can pursue individuals directly. Singapore has made a political choice to hold individuals — not just institutions — responsible for AI failures.</w:t>
      </w:r>
    </w:p>
    <w:p w14:paraId="281E466C" w14:textId="6B05ACD7" w:rsidR="00665F1B" w:rsidRPr="00665F1B" w:rsidRDefault="00AE29BA" w:rsidP="00665F1B">
      <w:pPr>
        <w:pStyle w:val="a4"/>
        <w:numPr>
          <w:ilvl w:val="0"/>
          <w:numId w:val="7"/>
        </w:numPr>
        <w:spacing w:after="40"/>
        <w:jc w:val="both"/>
        <w:rPr>
          <w:rFonts w:ascii="Times New Roman" w:hAnsi="Times New Roman" w:cs="Times New Roman"/>
          <w:sz w:val="24"/>
          <w:szCs w:val="24"/>
        </w:rPr>
      </w:pPr>
      <w:r w:rsidRPr="00665F1B">
        <w:rPr>
          <w:rFonts w:ascii="Times New Roman" w:hAnsi="Times New Roman" w:cs="Times New Roman"/>
          <w:sz w:val="24"/>
          <w:szCs w:val="24"/>
        </w:rPr>
        <w:t>Explainability</w:t>
      </w:r>
      <w:r w:rsidR="00665F1B" w:rsidRPr="00665F1B">
        <w:rPr>
          <w:rFonts w:ascii="Times New Roman" w:hAnsi="Times New Roman" w:cs="Times New Roman" w:hint="eastAsia"/>
          <w:sz w:val="24"/>
          <w:szCs w:val="24"/>
        </w:rPr>
        <w:t>:</w:t>
      </w:r>
    </w:p>
    <w:p w14:paraId="26941736" w14:textId="6B710F78" w:rsidR="00AE29BA" w:rsidRPr="00665F1B" w:rsidRDefault="00AE29BA" w:rsidP="00665F1B">
      <w:pPr>
        <w:pStyle w:val="a4"/>
        <w:spacing w:after="40"/>
        <w:ind w:left="440"/>
        <w:jc w:val="both"/>
        <w:rPr>
          <w:rFonts w:ascii="Times New Roman" w:hAnsi="Times New Roman" w:cs="Times New Roman"/>
          <w:sz w:val="24"/>
          <w:szCs w:val="24"/>
        </w:rPr>
      </w:pPr>
      <w:r w:rsidRPr="00665F1B">
        <w:rPr>
          <w:rFonts w:ascii="Times New Roman" w:hAnsi="Times New Roman" w:cs="Times New Roman"/>
          <w:sz w:val="24"/>
          <w:szCs w:val="24"/>
        </w:rPr>
        <w:t>The US requires only outcome</w:t>
      </w:r>
      <w:r w:rsidRPr="00665F1B">
        <w:rPr>
          <w:rFonts w:ascii="Times New Roman" w:hAnsi="Times New Roman" w:cs="Times New Roman"/>
          <w:sz w:val="24"/>
          <w:szCs w:val="24"/>
        </w:rPr>
        <w:noBreakHyphen/>
        <w:t>level explanation, without mandating any specific method. Singapore requires customer</w:t>
      </w:r>
      <w:r w:rsidRPr="00665F1B">
        <w:rPr>
          <w:rFonts w:ascii="Times New Roman" w:hAnsi="Times New Roman" w:cs="Times New Roman"/>
          <w:sz w:val="24"/>
          <w:szCs w:val="24"/>
        </w:rPr>
        <w:noBreakHyphen/>
        <w:t>intelligible explanations for customer</w:t>
      </w:r>
      <w:r w:rsidRPr="00665F1B">
        <w:rPr>
          <w:rFonts w:ascii="Times New Roman" w:hAnsi="Times New Roman" w:cs="Times New Roman"/>
          <w:sz w:val="24"/>
          <w:szCs w:val="24"/>
        </w:rPr>
        <w:noBreakHyphen/>
        <w:t>facing Tier 1 models and explicitly endorses SHAP, LIME, and counterfactual approaches. Singapore has effectively made explainability a consumer right, whereas the US treats it as an institutional obligation.</w:t>
      </w:r>
    </w:p>
    <w:p w14:paraId="15DEB24F" w14:textId="4F4766CA" w:rsidR="00665F1B" w:rsidRPr="00665F1B" w:rsidRDefault="00AE29BA" w:rsidP="00665F1B">
      <w:pPr>
        <w:pStyle w:val="a4"/>
        <w:numPr>
          <w:ilvl w:val="0"/>
          <w:numId w:val="7"/>
        </w:numPr>
        <w:spacing w:after="40"/>
        <w:jc w:val="both"/>
        <w:rPr>
          <w:rFonts w:ascii="Times New Roman" w:hAnsi="Times New Roman" w:cs="Times New Roman"/>
          <w:sz w:val="24"/>
          <w:szCs w:val="24"/>
        </w:rPr>
      </w:pPr>
      <w:r w:rsidRPr="00665F1B">
        <w:rPr>
          <w:rFonts w:ascii="Times New Roman" w:hAnsi="Times New Roman" w:cs="Times New Roman"/>
          <w:sz w:val="24"/>
          <w:szCs w:val="24"/>
        </w:rPr>
        <w:t>Bias and fairness</w:t>
      </w:r>
      <w:r w:rsidR="00665F1B" w:rsidRPr="00665F1B">
        <w:rPr>
          <w:rFonts w:ascii="Times New Roman" w:hAnsi="Times New Roman" w:cs="Times New Roman" w:hint="eastAsia"/>
          <w:sz w:val="24"/>
          <w:szCs w:val="24"/>
        </w:rPr>
        <w:t>:</w:t>
      </w:r>
    </w:p>
    <w:p w14:paraId="1A4B4232" w14:textId="25645A08" w:rsidR="00AE29BA" w:rsidRPr="00665F1B" w:rsidRDefault="00AE29BA" w:rsidP="00665F1B">
      <w:pPr>
        <w:pStyle w:val="a4"/>
        <w:spacing w:after="40"/>
        <w:ind w:left="440"/>
        <w:jc w:val="both"/>
        <w:rPr>
          <w:rFonts w:ascii="Times New Roman" w:hAnsi="Times New Roman" w:cs="Times New Roman"/>
          <w:sz w:val="24"/>
          <w:szCs w:val="24"/>
        </w:rPr>
      </w:pPr>
      <w:r w:rsidRPr="00665F1B">
        <w:rPr>
          <w:rFonts w:ascii="Times New Roman" w:hAnsi="Times New Roman" w:cs="Times New Roman"/>
          <w:sz w:val="24"/>
          <w:szCs w:val="24"/>
        </w:rPr>
        <w:t>The US approach is grounded in existing civil rights law (ECOA, Regulation B), with disparate impact testing and protected classes defined by US statute. Singapore’s FEAT principles are broader, covering proxy discrimination and requiring fairness testing for all AI systems, not just credit decisions. Singapore’s framework is more forward</w:t>
      </w:r>
      <w:r w:rsidRPr="00665F1B">
        <w:rPr>
          <w:rFonts w:ascii="Times New Roman" w:hAnsi="Times New Roman" w:cs="Times New Roman"/>
          <w:sz w:val="24"/>
          <w:szCs w:val="24"/>
        </w:rPr>
        <w:noBreakHyphen/>
        <w:t>looking but also less litigable.</w:t>
      </w:r>
    </w:p>
    <w:p w14:paraId="7E63A9FC" w14:textId="1990CFC5" w:rsidR="00665F1B" w:rsidRPr="00665F1B" w:rsidRDefault="00AE29BA" w:rsidP="00665F1B">
      <w:pPr>
        <w:pStyle w:val="a4"/>
        <w:numPr>
          <w:ilvl w:val="0"/>
          <w:numId w:val="7"/>
        </w:numPr>
        <w:spacing w:after="40"/>
        <w:jc w:val="both"/>
        <w:rPr>
          <w:rFonts w:ascii="Times New Roman" w:hAnsi="Times New Roman" w:cs="Times New Roman"/>
          <w:sz w:val="24"/>
          <w:szCs w:val="24"/>
        </w:rPr>
      </w:pPr>
      <w:r w:rsidRPr="00665F1B">
        <w:rPr>
          <w:rFonts w:ascii="Times New Roman" w:hAnsi="Times New Roman" w:cs="Times New Roman"/>
          <w:sz w:val="24"/>
          <w:szCs w:val="24"/>
        </w:rPr>
        <w:t>Drift monitoring</w:t>
      </w:r>
      <w:r w:rsidR="00665F1B" w:rsidRPr="00665F1B">
        <w:rPr>
          <w:rFonts w:ascii="Times New Roman" w:hAnsi="Times New Roman" w:cs="Times New Roman" w:hint="eastAsia"/>
          <w:sz w:val="24"/>
          <w:szCs w:val="24"/>
        </w:rPr>
        <w:t>:</w:t>
      </w:r>
    </w:p>
    <w:p w14:paraId="543727E4" w14:textId="1B6B4C87" w:rsidR="00AE29BA" w:rsidRPr="00665F1B" w:rsidRDefault="00AE29BA" w:rsidP="00665F1B">
      <w:pPr>
        <w:pStyle w:val="a4"/>
        <w:spacing w:after="40"/>
        <w:ind w:left="440"/>
        <w:jc w:val="both"/>
        <w:rPr>
          <w:rFonts w:ascii="Times New Roman" w:hAnsi="Times New Roman" w:cs="Times New Roman"/>
          <w:sz w:val="24"/>
          <w:szCs w:val="24"/>
        </w:rPr>
      </w:pPr>
      <w:r w:rsidRPr="00665F1B">
        <w:rPr>
          <w:rFonts w:ascii="Times New Roman" w:hAnsi="Times New Roman" w:cs="Times New Roman"/>
          <w:sz w:val="24"/>
          <w:szCs w:val="24"/>
        </w:rPr>
        <w:t xml:space="preserve">Both regimes require monitoring for performance degradation, but Singapore is more interventionist. MAS triggers a formal review on any significant data distribution change or performance degradation, </w:t>
      </w:r>
      <w:r w:rsidRPr="00665F1B">
        <w:rPr>
          <w:rFonts w:ascii="Times New Roman" w:hAnsi="Times New Roman" w:cs="Times New Roman"/>
          <w:sz w:val="24"/>
          <w:szCs w:val="24"/>
        </w:rPr>
        <w:lastRenderedPageBreak/>
        <w:t>applying de facto tighter thresholds. The US leaves thresholds unspecified, giving banks more discretion but also more room for drift to go undetected.</w:t>
      </w:r>
    </w:p>
    <w:p w14:paraId="4D598E71" w14:textId="77777777" w:rsidR="00665F1B" w:rsidRPr="00665F1B" w:rsidRDefault="00665F1B" w:rsidP="00665F1B">
      <w:pPr>
        <w:spacing w:after="40"/>
        <w:jc w:val="both"/>
        <w:rPr>
          <w:rFonts w:ascii="Times New Roman" w:hAnsi="Times New Roman" w:cs="Times New Roman"/>
          <w:sz w:val="24"/>
          <w:szCs w:val="24"/>
        </w:rPr>
      </w:pPr>
    </w:p>
    <w:p w14:paraId="63024AB7" w14:textId="08EB7E51" w:rsidR="00AE29BA" w:rsidRPr="00AE29BA" w:rsidRDefault="00AE29BA" w:rsidP="00665F1B">
      <w:pPr>
        <w:spacing w:after="40"/>
        <w:jc w:val="both"/>
        <w:rPr>
          <w:rFonts w:ascii="Times New Roman" w:hAnsi="Times New Roman" w:cs="Times New Roman"/>
          <w:b/>
          <w:bCs/>
          <w:sz w:val="24"/>
          <w:szCs w:val="24"/>
        </w:rPr>
      </w:pPr>
      <w:r w:rsidRPr="00AE29BA">
        <w:rPr>
          <w:rFonts w:ascii="Times New Roman" w:hAnsi="Times New Roman" w:cs="Times New Roman"/>
          <w:b/>
          <w:bCs/>
          <w:sz w:val="24"/>
          <w:szCs w:val="24"/>
        </w:rPr>
        <w:t>2.3 Why This Divergence Matters for a RegTech Tool</w:t>
      </w:r>
    </w:p>
    <w:p w14:paraId="4569D508" w14:textId="0FD934FE" w:rsidR="001A3602" w:rsidRPr="00665F1B" w:rsidRDefault="00AE29BA" w:rsidP="00665F1B">
      <w:pPr>
        <w:spacing w:after="40"/>
        <w:jc w:val="both"/>
        <w:rPr>
          <w:rFonts w:ascii="Times New Roman" w:hAnsi="Times New Roman" w:cs="Times New Roman"/>
          <w:sz w:val="24"/>
          <w:szCs w:val="24"/>
        </w:rPr>
      </w:pPr>
      <w:r w:rsidRPr="00AE29BA">
        <w:rPr>
          <w:rFonts w:ascii="Times New Roman" w:hAnsi="Times New Roman" w:cs="Times New Roman"/>
          <w:sz w:val="24"/>
          <w:szCs w:val="24"/>
        </w:rPr>
        <w:t>A RegTech tool that applies US MRM standards to a Singapore</w:t>
      </w:r>
      <w:r w:rsidRPr="00AE29BA">
        <w:rPr>
          <w:rFonts w:ascii="Times New Roman" w:hAnsi="Times New Roman" w:cs="Times New Roman"/>
          <w:sz w:val="24"/>
          <w:szCs w:val="24"/>
        </w:rPr>
        <w:noBreakHyphen/>
        <w:t>licensed bank is not merely incomplete — it creates a false sense of compliance. The most dangerous gap is explainability: a model that passes OCC scrutiny (no local explanation required) would fail MAS inspection (customer</w:t>
      </w:r>
      <w:r w:rsidRPr="00AE29BA">
        <w:rPr>
          <w:rFonts w:ascii="Times New Roman" w:hAnsi="Times New Roman" w:cs="Times New Roman"/>
          <w:sz w:val="24"/>
          <w:szCs w:val="24"/>
        </w:rPr>
        <w:noBreakHyphen/>
        <w:t xml:space="preserve">intelligible SHAP/LIME output required for Tier 1 models). The tool would show </w:t>
      </w:r>
      <w:r w:rsidR="00665F1B">
        <w:rPr>
          <w:rFonts w:ascii="Times New Roman" w:hAnsi="Times New Roman" w:cs="Times New Roman" w:hint="eastAsia"/>
          <w:sz w:val="24"/>
          <w:szCs w:val="24"/>
        </w:rPr>
        <w:t>green</w:t>
      </w:r>
      <w:r w:rsidRPr="00AE29BA">
        <w:rPr>
          <w:rFonts w:ascii="Times New Roman" w:hAnsi="Times New Roman" w:cs="Times New Roman"/>
          <w:sz w:val="24"/>
          <w:szCs w:val="24"/>
        </w:rPr>
        <w:t xml:space="preserve"> for a model that is actually </w:t>
      </w:r>
      <w:r w:rsidR="00665F1B">
        <w:rPr>
          <w:rFonts w:ascii="Times New Roman" w:hAnsi="Times New Roman" w:cs="Times New Roman" w:hint="eastAsia"/>
          <w:sz w:val="24"/>
          <w:szCs w:val="24"/>
        </w:rPr>
        <w:t>red</w:t>
      </w:r>
      <w:r w:rsidRPr="00AE29BA">
        <w:rPr>
          <w:rFonts w:ascii="Times New Roman" w:hAnsi="Times New Roman" w:cs="Times New Roman"/>
          <w:sz w:val="24"/>
          <w:szCs w:val="24"/>
        </w:rPr>
        <w:t xml:space="preserve"> under the applicable jurisdiction. This is the specific problem that Zenith MRM is designed to solve. Any jurisdiction</w:t>
      </w:r>
      <w:r w:rsidRPr="00AE29BA">
        <w:rPr>
          <w:rFonts w:ascii="Times New Roman" w:hAnsi="Times New Roman" w:cs="Times New Roman"/>
          <w:sz w:val="24"/>
          <w:szCs w:val="24"/>
        </w:rPr>
        <w:noBreakHyphen/>
        <w:t>aware tool must, at minimum, detect which regulator’s rules apply to a given model and adjust its assessment criteria accordingly — and must refuse to render a verdict when jurisdictional assignment is ambiguous.</w:t>
      </w:r>
    </w:p>
    <w:p w14:paraId="081E6655" w14:textId="674F9891" w:rsidR="00665F1B" w:rsidRPr="00665F1B" w:rsidRDefault="00665F1B" w:rsidP="00665F1B">
      <w:pPr>
        <w:widowControl/>
        <w:jc w:val="both"/>
        <w:rPr>
          <w:rFonts w:ascii="Times New Roman" w:eastAsia="Arial" w:hAnsi="Times New Roman" w:cs="Times New Roman"/>
          <w:b/>
          <w:bCs/>
          <w:sz w:val="24"/>
          <w:szCs w:val="24"/>
        </w:rPr>
      </w:pPr>
      <w:r w:rsidRPr="00665F1B">
        <w:rPr>
          <w:rFonts w:ascii="Times New Roman" w:hAnsi="Times New Roman" w:cs="Times New Roman"/>
          <w:sz w:val="24"/>
          <w:szCs w:val="24"/>
        </w:rPr>
        <w:br w:type="page"/>
      </w:r>
    </w:p>
    <w:p w14:paraId="0B83AE4F" w14:textId="04D5C97D" w:rsidR="00665F1B" w:rsidRPr="00665F1B" w:rsidRDefault="00665F1B" w:rsidP="00665F1B">
      <w:pPr>
        <w:spacing w:after="55"/>
        <w:jc w:val="both"/>
        <w:rPr>
          <w:rFonts w:ascii="Times New Roman" w:hAnsi="Times New Roman" w:cs="Times New Roman"/>
          <w:b/>
          <w:bCs/>
          <w:sz w:val="24"/>
          <w:szCs w:val="24"/>
        </w:rPr>
      </w:pPr>
      <w:r w:rsidRPr="00665F1B">
        <w:rPr>
          <w:rFonts w:ascii="Times New Roman" w:hAnsi="Times New Roman" w:cs="Times New Roman"/>
          <w:b/>
          <w:bCs/>
          <w:sz w:val="24"/>
          <w:szCs w:val="24"/>
        </w:rPr>
        <w:lastRenderedPageBreak/>
        <w:t>3 References</w:t>
      </w:r>
    </w:p>
    <w:p w14:paraId="111D221E" w14:textId="62950F95" w:rsidR="00AE29BA" w:rsidRPr="00665F1B" w:rsidRDefault="00665F1B" w:rsidP="00665F1B">
      <w:pPr>
        <w:pStyle w:val="a4"/>
        <w:numPr>
          <w:ilvl w:val="0"/>
          <w:numId w:val="9"/>
        </w:numPr>
        <w:spacing w:after="55"/>
        <w:jc w:val="both"/>
        <w:rPr>
          <w:rFonts w:ascii="Times New Roman" w:hAnsi="Times New Roman" w:cs="Times New Roman"/>
          <w:sz w:val="24"/>
          <w:szCs w:val="24"/>
        </w:rPr>
      </w:pPr>
      <w:r w:rsidRPr="00665F1B">
        <w:rPr>
          <w:rFonts w:ascii="Times New Roman" w:eastAsia="Arial" w:hAnsi="Times New Roman" w:cs="Times New Roman"/>
          <w:sz w:val="24"/>
          <w:szCs w:val="24"/>
        </w:rPr>
        <w:t>https://www.occ.gov/topics/charters-and- licensing /index-charters-and-licensing.html</w:t>
      </w:r>
    </w:p>
    <w:p w14:paraId="114876DD" w14:textId="77E62ED6" w:rsidR="001A3602" w:rsidRPr="00665F1B" w:rsidRDefault="00000000" w:rsidP="00665F1B">
      <w:pPr>
        <w:pStyle w:val="a4"/>
        <w:numPr>
          <w:ilvl w:val="0"/>
          <w:numId w:val="9"/>
        </w:numPr>
        <w:spacing w:after="55"/>
        <w:jc w:val="both"/>
        <w:rPr>
          <w:rFonts w:ascii="Times New Roman" w:hAnsi="Times New Roman" w:cs="Times New Roman"/>
          <w:sz w:val="24"/>
          <w:szCs w:val="24"/>
        </w:rPr>
      </w:pPr>
      <w:r w:rsidRPr="00665F1B">
        <w:rPr>
          <w:rFonts w:ascii="Times New Roman" w:eastAsia="Arial" w:hAnsi="Times New Roman" w:cs="Times New Roman"/>
          <w:sz w:val="24"/>
          <w:szCs w:val="24"/>
        </w:rPr>
        <w:t>https://www.occ.treas.gov/news-issuances/bulletins/2026/bulletin-2026-13.html</w:t>
      </w:r>
    </w:p>
    <w:p w14:paraId="2404C7AA" w14:textId="77777777" w:rsidR="001A3602" w:rsidRPr="00665F1B" w:rsidRDefault="00000000" w:rsidP="00665F1B">
      <w:pPr>
        <w:pStyle w:val="a4"/>
        <w:numPr>
          <w:ilvl w:val="0"/>
          <w:numId w:val="9"/>
        </w:numPr>
        <w:spacing w:after="55"/>
        <w:jc w:val="both"/>
        <w:rPr>
          <w:rFonts w:ascii="Times New Roman" w:hAnsi="Times New Roman" w:cs="Times New Roman"/>
          <w:sz w:val="24"/>
          <w:szCs w:val="24"/>
        </w:rPr>
      </w:pPr>
      <w:r w:rsidRPr="00665F1B">
        <w:rPr>
          <w:rFonts w:ascii="Times New Roman" w:eastAsia="Arial" w:hAnsi="Times New Roman" w:cs="Times New Roman"/>
          <w:sz w:val="24"/>
          <w:szCs w:val="24"/>
        </w:rPr>
        <w:t>MAS 2024 AI Model Risk Management Guidelines — Monetary Authority of Singapore</w:t>
      </w:r>
    </w:p>
    <w:p w14:paraId="666C9441" w14:textId="549FBA3B" w:rsidR="001A3602" w:rsidRPr="00665F1B" w:rsidRDefault="00000000" w:rsidP="00665F1B">
      <w:pPr>
        <w:pStyle w:val="a4"/>
        <w:numPr>
          <w:ilvl w:val="0"/>
          <w:numId w:val="9"/>
        </w:numPr>
        <w:spacing w:after="55"/>
        <w:jc w:val="both"/>
        <w:rPr>
          <w:rFonts w:ascii="Times New Roman" w:hAnsi="Times New Roman" w:cs="Times New Roman"/>
          <w:sz w:val="24"/>
          <w:szCs w:val="24"/>
        </w:rPr>
      </w:pPr>
      <w:r w:rsidRPr="00665F1B">
        <w:rPr>
          <w:rFonts w:ascii="Times New Roman" w:eastAsia="Arial" w:hAnsi="Times New Roman" w:cs="Times New Roman"/>
          <w:sz w:val="24"/>
          <w:szCs w:val="24"/>
        </w:rPr>
        <w:t>https://www.federalreserve.gov/supervisionreg/srletters/sr1107.htm</w:t>
      </w:r>
    </w:p>
    <w:p w14:paraId="6E807719" w14:textId="0EB85842" w:rsidR="001A3602" w:rsidRPr="00665F1B" w:rsidRDefault="00000000" w:rsidP="00665F1B">
      <w:pPr>
        <w:pStyle w:val="a4"/>
        <w:numPr>
          <w:ilvl w:val="0"/>
          <w:numId w:val="9"/>
        </w:numPr>
        <w:spacing w:after="55"/>
        <w:jc w:val="both"/>
        <w:rPr>
          <w:rFonts w:ascii="Times New Roman" w:hAnsi="Times New Roman" w:cs="Times New Roman"/>
          <w:sz w:val="24"/>
          <w:szCs w:val="24"/>
        </w:rPr>
      </w:pPr>
      <w:r w:rsidRPr="00665F1B">
        <w:rPr>
          <w:rFonts w:ascii="Times New Roman" w:eastAsia="Arial" w:hAnsi="Times New Roman" w:cs="Times New Roman"/>
          <w:sz w:val="24"/>
          <w:szCs w:val="24"/>
        </w:rPr>
        <w:t>https://www.mas.gov.sg/publications/monographs-or-information-paper/2018/feat-principles</w:t>
      </w:r>
    </w:p>
    <w:p w14:paraId="5165F317" w14:textId="511E81E4" w:rsidR="001A3602" w:rsidRPr="00665F1B" w:rsidRDefault="00000000" w:rsidP="00665F1B">
      <w:pPr>
        <w:pStyle w:val="a4"/>
        <w:numPr>
          <w:ilvl w:val="0"/>
          <w:numId w:val="9"/>
        </w:numPr>
        <w:spacing w:after="55"/>
        <w:jc w:val="both"/>
        <w:rPr>
          <w:rFonts w:ascii="Times New Roman" w:hAnsi="Times New Roman" w:cs="Times New Roman"/>
          <w:sz w:val="24"/>
          <w:szCs w:val="24"/>
        </w:rPr>
      </w:pPr>
      <w:r w:rsidRPr="00665F1B">
        <w:rPr>
          <w:rFonts w:ascii="Times New Roman" w:eastAsia="Arial" w:hAnsi="Times New Roman" w:cs="Times New Roman"/>
          <w:sz w:val="24"/>
          <w:szCs w:val="24"/>
        </w:rPr>
        <w:t>https://www.sc.com/en/investors/</w:t>
      </w:r>
    </w:p>
    <w:p w14:paraId="4F2BA0AE" w14:textId="1A69DE39" w:rsidR="001A3602" w:rsidRPr="00665F1B" w:rsidRDefault="00000000" w:rsidP="00665F1B">
      <w:pPr>
        <w:pStyle w:val="a4"/>
        <w:numPr>
          <w:ilvl w:val="0"/>
          <w:numId w:val="9"/>
        </w:numPr>
        <w:spacing w:after="55"/>
        <w:jc w:val="both"/>
        <w:rPr>
          <w:rFonts w:ascii="Times New Roman" w:hAnsi="Times New Roman" w:cs="Times New Roman"/>
          <w:sz w:val="24"/>
          <w:szCs w:val="24"/>
        </w:rPr>
      </w:pPr>
      <w:r w:rsidRPr="00665F1B">
        <w:rPr>
          <w:rFonts w:ascii="Times New Roman" w:eastAsia="Arial" w:hAnsi="Times New Roman" w:cs="Times New Roman"/>
          <w:sz w:val="24"/>
          <w:szCs w:val="24"/>
        </w:rPr>
        <w:t>https://www.consumerfinancialserviceslawmonitor.com/2026/04/cfpb-finalizes-regulation-b-subpart-a-rule-largely-as-proposed/</w:t>
      </w:r>
    </w:p>
    <w:p w14:paraId="57C01F8E" w14:textId="6A7EF4BD" w:rsidR="001A3602" w:rsidRPr="00665F1B" w:rsidRDefault="00000000" w:rsidP="00665F1B">
      <w:pPr>
        <w:pStyle w:val="a4"/>
        <w:numPr>
          <w:ilvl w:val="0"/>
          <w:numId w:val="9"/>
        </w:numPr>
        <w:spacing w:after="55"/>
        <w:jc w:val="both"/>
        <w:rPr>
          <w:rFonts w:ascii="Times New Roman" w:hAnsi="Times New Roman" w:cs="Times New Roman"/>
          <w:sz w:val="24"/>
          <w:szCs w:val="24"/>
        </w:rPr>
      </w:pPr>
      <w:r w:rsidRPr="00665F1B">
        <w:rPr>
          <w:rFonts w:ascii="Times New Roman" w:eastAsia="Arial" w:hAnsi="Times New Roman" w:cs="Times New Roman"/>
          <w:sz w:val="24"/>
          <w:szCs w:val="24"/>
        </w:rPr>
        <w:t>https://www.consumerfinance.gov/about-us/newsroom/cfpb-issues-guidance-on-credit-denials-by-lenders-using-artificial-intelligence/</w:t>
      </w:r>
    </w:p>
    <w:p w14:paraId="00877D75" w14:textId="237FF42B" w:rsidR="001A3602" w:rsidRPr="00665F1B" w:rsidRDefault="00000000" w:rsidP="00665F1B">
      <w:pPr>
        <w:pStyle w:val="a4"/>
        <w:numPr>
          <w:ilvl w:val="0"/>
          <w:numId w:val="9"/>
        </w:numPr>
        <w:spacing w:after="55"/>
        <w:jc w:val="both"/>
        <w:rPr>
          <w:rFonts w:ascii="Times New Roman" w:hAnsi="Times New Roman" w:cs="Times New Roman"/>
          <w:sz w:val="24"/>
          <w:szCs w:val="24"/>
        </w:rPr>
      </w:pPr>
      <w:r w:rsidRPr="00665F1B">
        <w:rPr>
          <w:rFonts w:ascii="Times New Roman" w:eastAsia="Arial" w:hAnsi="Times New Roman" w:cs="Times New Roman"/>
          <w:sz w:val="24"/>
          <w:szCs w:val="24"/>
        </w:rPr>
        <w:t>https://www.europarl.europa.eu/RegData/etudes/ATAG/2025/769509/EPRS_ATA(2025)769509_EN.pdf</w:t>
      </w:r>
    </w:p>
    <w:p w14:paraId="68E49013" w14:textId="7EC6D29C" w:rsidR="001A3602" w:rsidRPr="00665F1B" w:rsidRDefault="00000000" w:rsidP="00665F1B">
      <w:pPr>
        <w:pStyle w:val="a4"/>
        <w:numPr>
          <w:ilvl w:val="0"/>
          <w:numId w:val="9"/>
        </w:numPr>
        <w:spacing w:after="55"/>
        <w:jc w:val="both"/>
        <w:rPr>
          <w:rFonts w:ascii="Times New Roman" w:hAnsi="Times New Roman" w:cs="Times New Roman"/>
          <w:sz w:val="24"/>
          <w:szCs w:val="24"/>
        </w:rPr>
      </w:pPr>
      <w:r w:rsidRPr="00665F1B">
        <w:rPr>
          <w:rFonts w:ascii="Times New Roman" w:eastAsia="Arial" w:hAnsi="Times New Roman" w:cs="Times New Roman"/>
          <w:sz w:val="24"/>
          <w:szCs w:val="24"/>
        </w:rPr>
        <w:t>https://www.osfi-bsif.gc.ca/en/guidance/guidance-library/guideline-e-23-model-risk-management-2027</w:t>
      </w:r>
    </w:p>
    <w:p w14:paraId="237806F1" w14:textId="2C8AA555" w:rsidR="001A3602" w:rsidRPr="00665F1B" w:rsidRDefault="00000000" w:rsidP="00665F1B">
      <w:pPr>
        <w:pStyle w:val="a4"/>
        <w:numPr>
          <w:ilvl w:val="0"/>
          <w:numId w:val="9"/>
        </w:numPr>
        <w:spacing w:after="55"/>
        <w:jc w:val="both"/>
        <w:rPr>
          <w:rFonts w:ascii="Times New Roman" w:hAnsi="Times New Roman" w:cs="Times New Roman"/>
          <w:sz w:val="24"/>
          <w:szCs w:val="24"/>
        </w:rPr>
      </w:pPr>
      <w:r w:rsidRPr="00665F1B">
        <w:rPr>
          <w:rFonts w:ascii="Times New Roman" w:eastAsia="Arial" w:hAnsi="Times New Roman" w:cs="Times New Roman"/>
          <w:sz w:val="24"/>
          <w:szCs w:val="24"/>
        </w:rPr>
        <w:t>https://www.whitehouse.gov/presidential-actions/2025/08/guaranteeing-fair-banking-for-all-americans/</w:t>
      </w:r>
    </w:p>
    <w:sectPr w:rsidR="001A3602" w:rsidRPr="00665F1B">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0658D" w14:textId="77777777" w:rsidR="00F246A5" w:rsidRDefault="00F246A5" w:rsidP="001E5083">
      <w:r>
        <w:separator/>
      </w:r>
    </w:p>
  </w:endnote>
  <w:endnote w:type="continuationSeparator" w:id="0">
    <w:p w14:paraId="2729C40A" w14:textId="77777777" w:rsidR="00F246A5" w:rsidRDefault="00F246A5" w:rsidP="001E5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2AACD" w14:textId="77777777" w:rsidR="00F246A5" w:rsidRDefault="00F246A5" w:rsidP="001E5083">
      <w:r>
        <w:separator/>
      </w:r>
    </w:p>
  </w:footnote>
  <w:footnote w:type="continuationSeparator" w:id="0">
    <w:p w14:paraId="2D9AD13E" w14:textId="77777777" w:rsidR="00F246A5" w:rsidRDefault="00F246A5" w:rsidP="001E50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43A"/>
    <w:multiLevelType w:val="hybridMultilevel"/>
    <w:tmpl w:val="3B1AC19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78A2B83"/>
    <w:multiLevelType w:val="hybridMultilevel"/>
    <w:tmpl w:val="1298C7D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4D46BBE"/>
    <w:multiLevelType w:val="hybridMultilevel"/>
    <w:tmpl w:val="A37AEFA4"/>
    <w:lvl w:ilvl="0" w:tplc="1E228794">
      <w:start w:val="1"/>
      <w:numFmt w:val="bullet"/>
      <w:lvlText w:val="●"/>
      <w:lvlJc w:val="left"/>
      <w:pPr>
        <w:ind w:left="720" w:hanging="360"/>
      </w:pPr>
    </w:lvl>
    <w:lvl w:ilvl="1" w:tplc="C540B128">
      <w:start w:val="1"/>
      <w:numFmt w:val="bullet"/>
      <w:lvlText w:val="○"/>
      <w:lvlJc w:val="left"/>
      <w:pPr>
        <w:ind w:left="1440" w:hanging="360"/>
      </w:pPr>
    </w:lvl>
    <w:lvl w:ilvl="2" w:tplc="D1C8A0E4">
      <w:start w:val="1"/>
      <w:numFmt w:val="bullet"/>
      <w:lvlText w:val="■"/>
      <w:lvlJc w:val="left"/>
      <w:pPr>
        <w:ind w:left="2160" w:hanging="360"/>
      </w:pPr>
    </w:lvl>
    <w:lvl w:ilvl="3" w:tplc="CE2C25A8">
      <w:start w:val="1"/>
      <w:numFmt w:val="bullet"/>
      <w:lvlText w:val="●"/>
      <w:lvlJc w:val="left"/>
      <w:pPr>
        <w:ind w:left="2880" w:hanging="360"/>
      </w:pPr>
    </w:lvl>
    <w:lvl w:ilvl="4" w:tplc="19BEF71A">
      <w:start w:val="1"/>
      <w:numFmt w:val="bullet"/>
      <w:lvlText w:val="○"/>
      <w:lvlJc w:val="left"/>
      <w:pPr>
        <w:ind w:left="3600" w:hanging="360"/>
      </w:pPr>
    </w:lvl>
    <w:lvl w:ilvl="5" w:tplc="5AB65622">
      <w:start w:val="1"/>
      <w:numFmt w:val="bullet"/>
      <w:lvlText w:val="■"/>
      <w:lvlJc w:val="left"/>
      <w:pPr>
        <w:ind w:left="4320" w:hanging="360"/>
      </w:pPr>
    </w:lvl>
    <w:lvl w:ilvl="6" w:tplc="C0724B6E">
      <w:start w:val="1"/>
      <w:numFmt w:val="bullet"/>
      <w:lvlText w:val="●"/>
      <w:lvlJc w:val="left"/>
      <w:pPr>
        <w:ind w:left="5040" w:hanging="360"/>
      </w:pPr>
    </w:lvl>
    <w:lvl w:ilvl="7" w:tplc="2E865620">
      <w:start w:val="1"/>
      <w:numFmt w:val="bullet"/>
      <w:lvlText w:val="●"/>
      <w:lvlJc w:val="left"/>
      <w:pPr>
        <w:ind w:left="5760" w:hanging="360"/>
      </w:pPr>
    </w:lvl>
    <w:lvl w:ilvl="8" w:tplc="98EE587E">
      <w:start w:val="1"/>
      <w:numFmt w:val="bullet"/>
      <w:lvlText w:val="●"/>
      <w:lvlJc w:val="left"/>
      <w:pPr>
        <w:ind w:left="6480" w:hanging="360"/>
      </w:pPr>
    </w:lvl>
  </w:abstractNum>
  <w:abstractNum w:abstractNumId="3" w15:restartNumberingAfterBreak="0">
    <w:nsid w:val="413428EA"/>
    <w:multiLevelType w:val="multilevel"/>
    <w:tmpl w:val="8B908F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9C1D2B"/>
    <w:multiLevelType w:val="hybridMultilevel"/>
    <w:tmpl w:val="68C85AB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66409EE"/>
    <w:multiLevelType w:val="hybridMultilevel"/>
    <w:tmpl w:val="354610B2"/>
    <w:lvl w:ilvl="0" w:tplc="F1B67172">
      <w:start w:val="1"/>
      <w:numFmt w:val="bullet"/>
      <w:lvlText w:val="•"/>
      <w:lvlJc w:val="left"/>
      <w:pPr>
        <w:ind w:left="720" w:hanging="360"/>
      </w:pPr>
    </w:lvl>
    <w:lvl w:ilvl="1" w:tplc="C5C0C880">
      <w:start w:val="1"/>
      <w:numFmt w:val="bullet"/>
      <w:lvlText w:val="○"/>
      <w:lvlJc w:val="left"/>
      <w:pPr>
        <w:ind w:left="1080" w:hanging="360"/>
      </w:pPr>
    </w:lvl>
    <w:lvl w:ilvl="2" w:tplc="78583E80">
      <w:numFmt w:val="decimal"/>
      <w:lvlText w:val=""/>
      <w:lvlJc w:val="left"/>
    </w:lvl>
    <w:lvl w:ilvl="3" w:tplc="213A08AA">
      <w:numFmt w:val="decimal"/>
      <w:lvlText w:val=""/>
      <w:lvlJc w:val="left"/>
    </w:lvl>
    <w:lvl w:ilvl="4" w:tplc="A208AD3E">
      <w:numFmt w:val="decimal"/>
      <w:lvlText w:val=""/>
      <w:lvlJc w:val="left"/>
    </w:lvl>
    <w:lvl w:ilvl="5" w:tplc="B7C2263A">
      <w:numFmt w:val="decimal"/>
      <w:lvlText w:val=""/>
      <w:lvlJc w:val="left"/>
    </w:lvl>
    <w:lvl w:ilvl="6" w:tplc="F8602A6E">
      <w:numFmt w:val="decimal"/>
      <w:lvlText w:val=""/>
      <w:lvlJc w:val="left"/>
    </w:lvl>
    <w:lvl w:ilvl="7" w:tplc="238C15B8">
      <w:numFmt w:val="decimal"/>
      <w:lvlText w:val=""/>
      <w:lvlJc w:val="left"/>
    </w:lvl>
    <w:lvl w:ilvl="8" w:tplc="8F121508">
      <w:numFmt w:val="decimal"/>
      <w:lvlText w:val=""/>
      <w:lvlJc w:val="left"/>
    </w:lvl>
  </w:abstractNum>
  <w:abstractNum w:abstractNumId="6" w15:restartNumberingAfterBreak="0">
    <w:nsid w:val="592E701F"/>
    <w:multiLevelType w:val="hybridMultilevel"/>
    <w:tmpl w:val="39D06240"/>
    <w:lvl w:ilvl="0" w:tplc="A6A225D4">
      <w:start w:val="1"/>
      <w:numFmt w:val="decimal"/>
      <w:lvlText w:val="%1."/>
      <w:lvlJc w:val="left"/>
      <w:pPr>
        <w:ind w:left="720" w:hanging="360"/>
      </w:pPr>
    </w:lvl>
    <w:lvl w:ilvl="1" w:tplc="9C8E9C6C">
      <w:numFmt w:val="decimal"/>
      <w:lvlText w:val=""/>
      <w:lvlJc w:val="left"/>
    </w:lvl>
    <w:lvl w:ilvl="2" w:tplc="702498E2">
      <w:numFmt w:val="decimal"/>
      <w:lvlText w:val=""/>
      <w:lvlJc w:val="left"/>
    </w:lvl>
    <w:lvl w:ilvl="3" w:tplc="9BBACA46">
      <w:numFmt w:val="decimal"/>
      <w:lvlText w:val=""/>
      <w:lvlJc w:val="left"/>
    </w:lvl>
    <w:lvl w:ilvl="4" w:tplc="78F24FF4">
      <w:numFmt w:val="decimal"/>
      <w:lvlText w:val=""/>
      <w:lvlJc w:val="left"/>
    </w:lvl>
    <w:lvl w:ilvl="5" w:tplc="A4409842">
      <w:numFmt w:val="decimal"/>
      <w:lvlText w:val=""/>
      <w:lvlJc w:val="left"/>
    </w:lvl>
    <w:lvl w:ilvl="6" w:tplc="810ACD22">
      <w:numFmt w:val="decimal"/>
      <w:lvlText w:val=""/>
      <w:lvlJc w:val="left"/>
    </w:lvl>
    <w:lvl w:ilvl="7" w:tplc="37F04FFC">
      <w:numFmt w:val="decimal"/>
      <w:lvlText w:val=""/>
      <w:lvlJc w:val="left"/>
    </w:lvl>
    <w:lvl w:ilvl="8" w:tplc="E370F062">
      <w:numFmt w:val="decimal"/>
      <w:lvlText w:val=""/>
      <w:lvlJc w:val="left"/>
    </w:lvl>
  </w:abstractNum>
  <w:abstractNum w:abstractNumId="7" w15:restartNumberingAfterBreak="0">
    <w:nsid w:val="5BD535DD"/>
    <w:multiLevelType w:val="multilevel"/>
    <w:tmpl w:val="343E9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BF57E1"/>
    <w:multiLevelType w:val="multilevel"/>
    <w:tmpl w:val="52E2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F72C08"/>
    <w:multiLevelType w:val="hybridMultilevel"/>
    <w:tmpl w:val="89E0E728"/>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767A772A"/>
    <w:multiLevelType w:val="multilevel"/>
    <w:tmpl w:val="C61A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641F33"/>
    <w:multiLevelType w:val="hybridMultilevel"/>
    <w:tmpl w:val="5BE827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674798977">
    <w:abstractNumId w:val="2"/>
    <w:lvlOverride w:ilvl="0">
      <w:startOverride w:val="1"/>
    </w:lvlOverride>
  </w:num>
  <w:num w:numId="2" w16cid:durableId="1974557861">
    <w:abstractNumId w:val="6"/>
    <w:lvlOverride w:ilvl="0">
      <w:startOverride w:val="1"/>
    </w:lvlOverride>
  </w:num>
  <w:num w:numId="3" w16cid:durableId="987786790">
    <w:abstractNumId w:val="7"/>
  </w:num>
  <w:num w:numId="4" w16cid:durableId="1110272873">
    <w:abstractNumId w:val="8"/>
  </w:num>
  <w:num w:numId="5" w16cid:durableId="1281838666">
    <w:abstractNumId w:val="10"/>
  </w:num>
  <w:num w:numId="6" w16cid:durableId="1360354683">
    <w:abstractNumId w:val="3"/>
  </w:num>
  <w:num w:numId="7" w16cid:durableId="456722242">
    <w:abstractNumId w:val="1"/>
  </w:num>
  <w:num w:numId="8" w16cid:durableId="1763867919">
    <w:abstractNumId w:val="11"/>
  </w:num>
  <w:num w:numId="9" w16cid:durableId="1906916312">
    <w:abstractNumId w:val="0"/>
  </w:num>
  <w:num w:numId="10" w16cid:durableId="33122499">
    <w:abstractNumId w:val="4"/>
  </w:num>
  <w:num w:numId="11" w16cid:durableId="20852944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602"/>
    <w:rsid w:val="001A3602"/>
    <w:rsid w:val="001E5083"/>
    <w:rsid w:val="00430CB3"/>
    <w:rsid w:val="006020B3"/>
    <w:rsid w:val="00665F1B"/>
    <w:rsid w:val="0069274E"/>
    <w:rsid w:val="00AE29BA"/>
    <w:rsid w:val="00BF2961"/>
    <w:rsid w:val="00D23B89"/>
    <w:rsid w:val="00F246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75B452"/>
  <w15:docId w15:val="{0F74DE34-4776-4E62-94D1-3DF1C73C8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20" w:after="160"/>
      <w:outlineLvl w:val="0"/>
    </w:pPr>
    <w:rPr>
      <w:rFonts w:eastAsia="Arial"/>
      <w:b/>
      <w:bCs/>
      <w:color w:val="1B3A6B"/>
      <w:sz w:val="30"/>
      <w:szCs w:val="30"/>
    </w:rPr>
  </w:style>
  <w:style w:type="paragraph" w:styleId="2">
    <w:name w:val="heading 2"/>
    <w:uiPriority w:val="9"/>
    <w:unhideWhenUsed/>
    <w:qFormat/>
    <w:pPr>
      <w:spacing w:before="200" w:after="90"/>
      <w:outlineLvl w:val="1"/>
    </w:pPr>
    <w:rPr>
      <w:rFonts w:eastAsia="Arial"/>
      <w:b/>
      <w:bCs/>
      <w:color w:val="0D2B4E"/>
      <w:sz w:val="25"/>
      <w:szCs w:val="25"/>
    </w:rPr>
  </w:style>
  <w:style w:type="paragraph" w:styleId="3">
    <w:name w:val="heading 3"/>
    <w:uiPriority w:val="9"/>
    <w:semiHidden/>
    <w:unhideWhenUsed/>
    <w:qFormat/>
    <w:pPr>
      <w:spacing w:before="130" w:after="60"/>
      <w:outlineLvl w:val="2"/>
    </w:pPr>
    <w:rPr>
      <w:rFonts w:eastAsia="Arial"/>
      <w:b/>
      <w:bCs/>
      <w:color w:val="007C91"/>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1E5083"/>
    <w:pPr>
      <w:tabs>
        <w:tab w:val="center" w:pos="4153"/>
        <w:tab w:val="right" w:pos="8306"/>
      </w:tabs>
      <w:snapToGrid w:val="0"/>
      <w:jc w:val="center"/>
    </w:pPr>
    <w:rPr>
      <w:sz w:val="18"/>
      <w:szCs w:val="18"/>
    </w:rPr>
  </w:style>
  <w:style w:type="character" w:customStyle="1" w:styleId="ad">
    <w:name w:val="页眉 字符"/>
    <w:basedOn w:val="a0"/>
    <w:link w:val="ac"/>
    <w:uiPriority w:val="99"/>
    <w:rsid w:val="001E5083"/>
    <w:rPr>
      <w:sz w:val="18"/>
      <w:szCs w:val="18"/>
    </w:rPr>
  </w:style>
  <w:style w:type="paragraph" w:styleId="ae">
    <w:name w:val="footer"/>
    <w:basedOn w:val="a"/>
    <w:link w:val="af"/>
    <w:uiPriority w:val="99"/>
    <w:unhideWhenUsed/>
    <w:rsid w:val="001E5083"/>
    <w:pPr>
      <w:tabs>
        <w:tab w:val="center" w:pos="4153"/>
        <w:tab w:val="right" w:pos="8306"/>
      </w:tabs>
      <w:snapToGrid w:val="0"/>
    </w:pPr>
    <w:rPr>
      <w:sz w:val="18"/>
      <w:szCs w:val="18"/>
    </w:rPr>
  </w:style>
  <w:style w:type="character" w:customStyle="1" w:styleId="af">
    <w:name w:val="页脚 字符"/>
    <w:basedOn w:val="a0"/>
    <w:link w:val="ae"/>
    <w:uiPriority w:val="99"/>
    <w:rsid w:val="001E50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5</Pages>
  <Words>1295</Words>
  <Characters>8626</Characters>
  <Application>Microsoft Office Word</Application>
  <DocSecurity>0</DocSecurity>
  <Lines>139</Lines>
  <Paragraphs>64</Paragraphs>
  <ScaleCrop>false</ScaleCrop>
  <Company/>
  <LinksUpToDate>false</LinksUpToDate>
  <CharactersWithSpaces>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元 刘</cp:lastModifiedBy>
  <cp:revision>4</cp:revision>
  <dcterms:created xsi:type="dcterms:W3CDTF">2026-05-20T06:06:00Z</dcterms:created>
  <dcterms:modified xsi:type="dcterms:W3CDTF">2026-05-23T13:34:00Z</dcterms:modified>
</cp:coreProperties>
</file>