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7FB5" w14:textId="2068EA38" w:rsidR="00485DC5" w:rsidRPr="005341DD" w:rsidRDefault="00485DC5" w:rsidP="00485DC5">
      <w:pPr>
        <w:jc w:val="center"/>
        <w:rPr>
          <w:rFonts w:ascii="Times New Roman" w:hAnsi="Times New Roman" w:cs="Times New Roman"/>
          <w:sz w:val="28"/>
          <w:szCs w:val="28"/>
        </w:rPr>
      </w:pPr>
      <w:r w:rsidRPr="005341DD">
        <w:rPr>
          <w:rFonts w:ascii="Times New Roman" w:hAnsi="Times New Roman" w:cs="Times New Roman"/>
          <w:b/>
          <w:bCs/>
          <w:sz w:val="28"/>
          <w:szCs w:val="28"/>
        </w:rPr>
        <w:t>Task 2</w:t>
      </w:r>
      <w:r w:rsidRPr="005341DD">
        <w:rPr>
          <w:rFonts w:ascii="Times New Roman" w:hAnsi="Times New Roman" w:cs="Times New Roman" w:hint="eastAsia"/>
          <w:b/>
          <w:bCs/>
          <w:sz w:val="28"/>
          <w:szCs w:val="28"/>
        </w:rPr>
        <w:t xml:space="preserve"> </w:t>
      </w:r>
      <w:r w:rsidRPr="005341DD">
        <w:rPr>
          <w:rFonts w:ascii="Times New Roman" w:hAnsi="Times New Roman" w:cs="Times New Roman"/>
          <w:b/>
          <w:bCs/>
          <w:sz w:val="28"/>
          <w:szCs w:val="28"/>
        </w:rPr>
        <w:t>Values Audit</w:t>
      </w:r>
    </w:p>
    <w:p w14:paraId="6D25A18B" w14:textId="3912D32D"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Pte. Ltd. is the company behind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MRM, a jurisdiction</w:t>
      </w:r>
      <w:r w:rsidR="00485DC5" w:rsidRPr="005341DD">
        <w:rPr>
          <w:rFonts w:ascii="Times New Roman" w:hAnsi="Times New Roman" w:cs="Times New Roman"/>
          <w:sz w:val="24"/>
          <w:szCs w:val="24"/>
        </w:rPr>
        <w:noBreakHyphen/>
        <w:t>aware AI/ML model risk monitor designed to address the divergent regulatory requirements between the United States and Singapore. The product’s core function is to provide continuous, honest model governance that prioritises genuine risk detection over documentation that merely looks compliant.</w:t>
      </w:r>
    </w:p>
    <w:p w14:paraId="47E2B729" w14:textId="77777777" w:rsidR="00485DC5" w:rsidRPr="005341DD" w:rsidRDefault="00485DC5" w:rsidP="00485DC5">
      <w:pPr>
        <w:jc w:val="both"/>
        <w:rPr>
          <w:rFonts w:ascii="Times New Roman" w:hAnsi="Times New Roman" w:cs="Times New Roman"/>
          <w:sz w:val="24"/>
          <w:szCs w:val="24"/>
        </w:rPr>
      </w:pPr>
    </w:p>
    <w:p w14:paraId="57B3397F" w14:textId="216DD42B"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1</w:t>
      </w:r>
      <w:r w:rsidR="006E1EE3">
        <w:rPr>
          <w:rFonts w:ascii="Times New Roman" w:hAnsi="Times New Roman" w:cs="Times New Roman" w:hint="eastAsia"/>
          <w:b/>
          <w:bCs/>
          <w:sz w:val="24"/>
          <w:szCs w:val="24"/>
        </w:rPr>
        <w:t xml:space="preserve"> </w:t>
      </w:r>
      <w:r w:rsidRPr="005341DD">
        <w:rPr>
          <w:rFonts w:ascii="Times New Roman" w:hAnsi="Times New Roman" w:cs="Times New Roman"/>
          <w:b/>
          <w:bCs/>
          <w:sz w:val="24"/>
          <w:szCs w:val="24"/>
        </w:rPr>
        <w:t>Company Mission, Profile, and Core Values</w:t>
      </w:r>
    </w:p>
    <w:p w14:paraId="11B19B79"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1.1 Mission Statement</w:t>
      </w:r>
    </w:p>
    <w:p w14:paraId="65A63EBB" w14:textId="20D92C8F"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“We build model governance infrastructure that reduces genuine risk in AI-driven financial decisions — not documentation that only reduces regulatory risk.”</w:t>
      </w:r>
    </w:p>
    <w:p w14:paraId="35C17A9B" w14:textId="7B766FEF"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The distinction in that mission statement is load</w:t>
      </w:r>
      <w:r w:rsidRPr="005341DD">
        <w:rPr>
          <w:rFonts w:ascii="Times New Roman" w:hAnsi="Times New Roman" w:cs="Times New Roman"/>
          <w:sz w:val="24"/>
          <w:szCs w:val="24"/>
        </w:rPr>
        <w:noBreakHyphen/>
        <w:t>bearing. A tool that generates a polished OCC</w:t>
      </w:r>
      <w:r w:rsidRPr="005341DD">
        <w:rPr>
          <w:rFonts w:ascii="Times New Roman" w:hAnsi="Times New Roman" w:cs="Times New Roman"/>
          <w:sz w:val="24"/>
          <w:szCs w:val="24"/>
        </w:rPr>
        <w:noBreakHyphen/>
        <w:t xml:space="preserve">format validation report for a model that is quietly degrading provides false assurance to the institution, the regulator, and every customer whose credit fate it governs.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MRM is designed to make the documentation honest, not merely present.</w:t>
      </w:r>
    </w:p>
    <w:p w14:paraId="1C33A63E" w14:textId="77777777" w:rsidR="00485DC5" w:rsidRPr="005341DD" w:rsidRDefault="00485DC5" w:rsidP="00485DC5">
      <w:pPr>
        <w:jc w:val="both"/>
        <w:rPr>
          <w:rFonts w:ascii="Times New Roman" w:hAnsi="Times New Roman" w:cs="Times New Roman"/>
          <w:sz w:val="24"/>
          <w:szCs w:val="24"/>
        </w:rPr>
      </w:pPr>
    </w:p>
    <w:p w14:paraId="5A894AA6"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1.2 Company Profile</w:t>
      </w:r>
    </w:p>
    <w:p w14:paraId="6001A0F0" w14:textId="60144171"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Pte. Ltd. was incorporated in Singapore in Q4 2024. The company is at Series A stage, having raised USD 8 million in Q1 2026 at a post</w:t>
      </w:r>
      <w:r w:rsidR="00485DC5" w:rsidRPr="005341DD">
        <w:rPr>
          <w:rFonts w:ascii="Times New Roman" w:hAnsi="Times New Roman" w:cs="Times New Roman"/>
          <w:sz w:val="24"/>
          <w:szCs w:val="24"/>
        </w:rPr>
        <w:noBreakHyphen/>
        <w:t>money valuation of USD 32 million. The team consists of 38 full</w:t>
      </w:r>
      <w:r w:rsidR="00485DC5" w:rsidRPr="005341DD">
        <w:rPr>
          <w:rFonts w:ascii="Times New Roman" w:hAnsi="Times New Roman" w:cs="Times New Roman"/>
          <w:sz w:val="24"/>
          <w:szCs w:val="24"/>
        </w:rPr>
        <w:noBreakHyphen/>
        <w:t xml:space="preserve">time employees, with 28 based in Singapore, 7 in London, and 3 in New York.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currently serves four pilot clients: two Singapore full</w:t>
      </w:r>
      <w:r w:rsidR="00485DC5" w:rsidRPr="005341DD">
        <w:rPr>
          <w:rFonts w:ascii="Times New Roman" w:hAnsi="Times New Roman" w:cs="Times New Roman"/>
          <w:sz w:val="24"/>
          <w:szCs w:val="24"/>
        </w:rPr>
        <w:noBreakHyphen/>
        <w:t>bank licensees, one UK fintech, and one MAS</w:t>
      </w:r>
      <w:r w:rsidR="00485DC5" w:rsidRPr="005341DD">
        <w:rPr>
          <w:rFonts w:ascii="Times New Roman" w:hAnsi="Times New Roman" w:cs="Times New Roman"/>
          <w:sz w:val="24"/>
          <w:szCs w:val="24"/>
        </w:rPr>
        <w:noBreakHyphen/>
        <w:t>regulated insurer. Annual recurring revenue (ARR) stands at USD 1.2 million during the pilot stage, with a target of USD 5 million in Year 2 and USD 12 million in Year 3. The cost structure is 72% engineering and product, 15% go</w:t>
      </w:r>
      <w:r w:rsidR="00485DC5" w:rsidRPr="005341DD">
        <w:rPr>
          <w:rFonts w:ascii="Times New Roman" w:hAnsi="Times New Roman" w:cs="Times New Roman"/>
          <w:sz w:val="24"/>
          <w:szCs w:val="24"/>
        </w:rPr>
        <w:noBreakHyphen/>
        <w:t>to</w:t>
      </w:r>
      <w:r w:rsidR="00485DC5" w:rsidRPr="005341DD">
        <w:rPr>
          <w:rFonts w:ascii="Times New Roman" w:hAnsi="Times New Roman" w:cs="Times New Roman"/>
          <w:sz w:val="24"/>
          <w:szCs w:val="24"/>
        </w:rPr>
        <w:noBreakHyphen/>
        <w:t>market, and 13% general and administrative. The geographic roadmap covers Singapore, followed by the UK (PRA SS1/23), Australia (APRA), and the UAE (CBUAE) over a three</w:t>
      </w:r>
      <w:r w:rsidR="00485DC5" w:rsidRPr="005341DD">
        <w:rPr>
          <w:rFonts w:ascii="Times New Roman" w:hAnsi="Times New Roman" w:cs="Times New Roman"/>
          <w:sz w:val="24"/>
          <w:szCs w:val="24"/>
        </w:rPr>
        <w:noBreakHyphen/>
        <w:t>year horizon. The founding team brings experience from a Tier</w:t>
      </w:r>
      <w:r w:rsidR="00485DC5" w:rsidRPr="005341DD">
        <w:rPr>
          <w:rFonts w:ascii="Times New Roman" w:hAnsi="Times New Roman" w:cs="Times New Roman"/>
          <w:sz w:val="24"/>
          <w:szCs w:val="24"/>
        </w:rPr>
        <w:noBreakHyphen/>
        <w:t>1 bank quant risk role, ML engineering at a credit bureau, and MAS regulatory policy.</w:t>
      </w:r>
    </w:p>
    <w:p w14:paraId="55D0CE0F" w14:textId="77777777" w:rsidR="00485DC5" w:rsidRPr="005341DD" w:rsidRDefault="00485DC5" w:rsidP="00485DC5">
      <w:pPr>
        <w:jc w:val="both"/>
        <w:rPr>
          <w:rFonts w:ascii="Times New Roman" w:hAnsi="Times New Roman" w:cs="Times New Roman"/>
          <w:sz w:val="24"/>
          <w:szCs w:val="24"/>
        </w:rPr>
      </w:pPr>
    </w:p>
    <w:p w14:paraId="398800D6"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1.3 What the Company Is Good At</w:t>
      </w:r>
    </w:p>
    <w:p w14:paraId="3194EFEE" w14:textId="465AAD8E"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’s core competencies are fourfold. First, regulatory mapping — translating specific regulatory texts into operational compliance parameters, a non</w:t>
      </w:r>
      <w:r w:rsidR="00485DC5" w:rsidRPr="005341DD">
        <w:rPr>
          <w:rFonts w:ascii="Times New Roman" w:hAnsi="Times New Roman" w:cs="Times New Roman"/>
          <w:sz w:val="24"/>
          <w:szCs w:val="24"/>
        </w:rPr>
        <w:noBreakHyphen/>
        <w:t>trivial task given the divergence between OCC 2026</w:t>
      </w:r>
      <w:r w:rsidR="00485DC5" w:rsidRPr="005341DD">
        <w:rPr>
          <w:rFonts w:ascii="Times New Roman" w:hAnsi="Times New Roman" w:cs="Times New Roman"/>
          <w:sz w:val="24"/>
          <w:szCs w:val="24"/>
        </w:rPr>
        <w:noBreakHyphen/>
        <w:t>13 and MAS 2024 AI MRM. Second, ML drift detection, including PSI monitoring, AUC tracking, and anomaly detection on model telemetry. Third, jurisdiction</w:t>
      </w:r>
      <w:r w:rsidR="00485DC5" w:rsidRPr="005341DD">
        <w:rPr>
          <w:rFonts w:ascii="Times New Roman" w:hAnsi="Times New Roman" w:cs="Times New Roman"/>
          <w:sz w:val="24"/>
          <w:szCs w:val="24"/>
        </w:rPr>
        <w:noBreakHyphen/>
        <w:t>specific alerting, whereby the same model receives a different compliance assessment depending on whether it is deployed in New York or Singapore. Fourth, honest communication — telling clients what the tool cannot do, and why, is built into the client engagement model.</w:t>
      </w:r>
    </w:p>
    <w:p w14:paraId="6A1AC6FD" w14:textId="77777777" w:rsidR="00485DC5" w:rsidRPr="005341DD" w:rsidRDefault="00485DC5" w:rsidP="00485DC5">
      <w:pPr>
        <w:jc w:val="both"/>
        <w:rPr>
          <w:rFonts w:ascii="Times New Roman" w:hAnsi="Times New Roman" w:cs="Times New Roman"/>
          <w:sz w:val="24"/>
          <w:szCs w:val="24"/>
        </w:rPr>
      </w:pPr>
    </w:p>
    <w:p w14:paraId="39C53D4D"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1.4 Core Values</w:t>
      </w:r>
    </w:p>
    <w:p w14:paraId="5ECD8385" w14:textId="4BF1BB23"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operates under four core values, each with a specific operational meaning. Epistemic honesty means the company tells clients what the tool cannot detect as explicitly as what it can; the model card is as long as the feature list, and any risk outside detection capability is not buried in fine print. Jurisdictional precision reflects a refusal to treat regulatory rules as interchangeable;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invests in jurisdiction</w:t>
      </w:r>
      <w:r w:rsidR="00485DC5" w:rsidRPr="005341DD">
        <w:rPr>
          <w:rFonts w:ascii="Times New Roman" w:hAnsi="Times New Roman" w:cs="Times New Roman"/>
          <w:sz w:val="24"/>
          <w:szCs w:val="24"/>
        </w:rPr>
        <w:noBreakHyphen/>
        <w:t>specific expertise rather than generic templates, and does not cover a new jurisdiction until it can do so properly — a policy that has delayed the UK launch but preserved integrity. Productive friction recogni</w:t>
      </w:r>
      <w:r w:rsidR="00485DC5" w:rsidRPr="005341DD">
        <w:rPr>
          <w:rFonts w:ascii="Times New Roman" w:hAnsi="Times New Roman" w:cs="Times New Roman" w:hint="eastAsia"/>
          <w:sz w:val="24"/>
          <w:szCs w:val="24"/>
        </w:rPr>
        <w:t>z</w:t>
      </w:r>
      <w:r w:rsidR="00485DC5" w:rsidRPr="005341DD">
        <w:rPr>
          <w:rFonts w:ascii="Times New Roman" w:hAnsi="Times New Roman" w:cs="Times New Roman"/>
          <w:sz w:val="24"/>
          <w:szCs w:val="24"/>
        </w:rPr>
        <w:t xml:space="preserve">es that a good governance tool should occasionally slow down deployment of a poorly validated model; if the tool were frictionless, it would probably not be doing its job, and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does not optimi</w:t>
      </w:r>
      <w:r w:rsidR="00485DC5" w:rsidRPr="005341DD">
        <w:rPr>
          <w:rFonts w:ascii="Times New Roman" w:hAnsi="Times New Roman" w:cs="Times New Roman" w:hint="eastAsia"/>
          <w:sz w:val="24"/>
          <w:szCs w:val="24"/>
        </w:rPr>
        <w:t>z</w:t>
      </w:r>
      <w:r w:rsidR="00485DC5" w:rsidRPr="005341DD">
        <w:rPr>
          <w:rFonts w:ascii="Times New Roman" w:hAnsi="Times New Roman" w:cs="Times New Roman"/>
          <w:sz w:val="24"/>
          <w:szCs w:val="24"/>
        </w:rPr>
        <w:t>e for click</w:t>
      </w:r>
      <w:r w:rsidR="00485DC5" w:rsidRPr="005341DD">
        <w:rPr>
          <w:rFonts w:ascii="Times New Roman" w:hAnsi="Times New Roman" w:cs="Times New Roman"/>
          <w:sz w:val="24"/>
          <w:szCs w:val="24"/>
        </w:rPr>
        <w:noBreakHyphen/>
        <w:t xml:space="preserve">through compliance. Client candour means that when a client asks to suppress an inconvenient alert,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declines; the product’s value depends on its independence from client preference, and this stance has cost at least two potential sales, which the company considers a price worth paying.</w:t>
      </w:r>
    </w:p>
    <w:p w14:paraId="0D3B6946"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lastRenderedPageBreak/>
        <w:t>1.5 Stage and Ambitions</w:t>
      </w:r>
    </w:p>
    <w:p w14:paraId="7CACA284" w14:textId="4110DD52"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is 18 months old and not yet profitable. The monthly burn rate is approximately USD 400,000 against monthly revenue of USD 100,000, providing 18 months of runway at current burn. The aspiration is to reach breakeven at USD 4 million ARR (approximately 12 clients at current pricing) within 24 months. Geographical expansion beyond Singapore is contingent on completing UK PRA regulatory mapping, which has begun but not finished.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will not launch in a jurisdiction until its rule engine has been validated against local supervisory expectations.</w:t>
      </w:r>
    </w:p>
    <w:p w14:paraId="63E7A7C0" w14:textId="77777777" w:rsidR="00485DC5" w:rsidRPr="005341DD" w:rsidRDefault="00485DC5">
      <w:pPr>
        <w:widowControl/>
        <w:rPr>
          <w:rFonts w:ascii="Times New Roman" w:hAnsi="Times New Roman" w:cs="Times New Roman"/>
          <w:sz w:val="24"/>
          <w:szCs w:val="24"/>
        </w:rPr>
      </w:pPr>
      <w:r w:rsidRPr="005341DD">
        <w:rPr>
          <w:rFonts w:ascii="Times New Roman" w:hAnsi="Times New Roman" w:cs="Times New Roman"/>
          <w:sz w:val="24"/>
          <w:szCs w:val="24"/>
        </w:rPr>
        <w:br w:type="page"/>
      </w:r>
    </w:p>
    <w:p w14:paraId="05E3A2C2" w14:textId="0D7130D1"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lastRenderedPageBreak/>
        <w:t>2 Whose Perspective Does the Tool Serve?</w:t>
      </w:r>
    </w:p>
    <w:p w14:paraId="08E7A93F"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2.1 Primary Client: The Chief Model Risk Officer (CMRO)</w:t>
      </w:r>
    </w:p>
    <w:p w14:paraId="3A549547" w14:textId="36450F48"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MRM is sold to and primarily serves the Chief Model Risk Officer or equivalent senior model risk function. The CMRO is accountable to the board and regulator for the institution’s model governance. They face three simultaneous pressures: the business wants to deploy models faster than the validation pipeline allows; the regulator demands evidence of ongoing monitoring; and internal audit wants documentation.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addresses the genuine middle pressure — not to manufacture better responses to the others, but to give the CMRO a tool that detects real degradation before it causes regulatory or customer harm.</w:t>
      </w:r>
    </w:p>
    <w:p w14:paraId="37347297" w14:textId="77777777" w:rsidR="00485DC5" w:rsidRPr="005341DD" w:rsidRDefault="00485DC5" w:rsidP="00485DC5">
      <w:pPr>
        <w:jc w:val="both"/>
        <w:rPr>
          <w:rFonts w:ascii="Times New Roman" w:hAnsi="Times New Roman" w:cs="Times New Roman"/>
          <w:b/>
          <w:bCs/>
          <w:sz w:val="24"/>
          <w:szCs w:val="24"/>
        </w:rPr>
      </w:pPr>
    </w:p>
    <w:p w14:paraId="59EF91E5" w14:textId="491B4BB6"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2.2 Stakeholder Tensions</w:t>
      </w:r>
    </w:p>
    <w:p w14:paraId="56BCD482" w14:textId="43B0ECFF"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 xml:space="preserve">The paying client (CMRO) has a core interest in demonstrating governance to the regulator and board while also managing budget and avoiding operational friction. This creates a direct tension with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’s mission: the CMRO may want alerts suppressed when they create inconvenient regulatory obligations, or may prefer documentation over detection. This tension is felt most acutely at renewal time;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has lost one pilot client precisely because it refused to raise PSI thresholds.</w:t>
      </w:r>
    </w:p>
    <w:p w14:paraId="253162A9"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Regulators (OCC and MAS) seek systemic safety, consumer protection, and trust in AI</w:t>
      </w:r>
      <w:r w:rsidRPr="005341DD">
        <w:rPr>
          <w:rFonts w:ascii="Times New Roman" w:hAnsi="Times New Roman" w:cs="Times New Roman"/>
          <w:sz w:val="24"/>
          <w:szCs w:val="24"/>
        </w:rPr>
        <w:noBreakHyphen/>
        <w:t>driven finance. They set a floor, not a ceiling. A tool that is merely compliant may satisfy the regulator but may not catch real risk. Moreover, regulators cannot see inside the tool — they must trust the client’s use of it, making the trust chain fragile.</w:t>
      </w:r>
    </w:p>
    <w:p w14:paraId="72A2A24B" w14:textId="0CB4AAE8"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 xml:space="preserve">The consumer or borrower has the most to lose from a bad model — denied credit, discriminatory pricing, or missed AML flags that allow fraud. Yet the consumer has no contract with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no visibility into the tool, and no way to know if the institution is using it honestly.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cannot directly serve them; it can only design the tool to make consumer harm less likely.</w:t>
      </w:r>
    </w:p>
    <w:p w14:paraId="6438FA39" w14:textId="031872EB"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The public or systemic interest is also at stake. Systemic risk is cross</w:t>
      </w:r>
      <w:r w:rsidRPr="005341DD">
        <w:rPr>
          <w:rFonts w:ascii="Times New Roman" w:hAnsi="Times New Roman" w:cs="Times New Roman"/>
          <w:sz w:val="24"/>
          <w:szCs w:val="24"/>
        </w:rPr>
        <w:noBreakHyphen/>
        <w:t xml:space="preserve">institutional.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MRM sees one institution at a time and cannot see the macro picture. A risk that is individually manageable may be systemically dangerous.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has no solution to this limitation other than transparency about its existence.</w:t>
      </w:r>
    </w:p>
    <w:p w14:paraId="55E95B97" w14:textId="77777777" w:rsidR="00485DC5" w:rsidRPr="005341DD" w:rsidRDefault="00485DC5" w:rsidP="00485DC5">
      <w:pPr>
        <w:jc w:val="both"/>
        <w:rPr>
          <w:rFonts w:ascii="Times New Roman" w:hAnsi="Times New Roman" w:cs="Times New Roman"/>
          <w:b/>
          <w:bCs/>
          <w:sz w:val="24"/>
          <w:szCs w:val="24"/>
        </w:rPr>
      </w:pPr>
    </w:p>
    <w:p w14:paraId="78E45AF5" w14:textId="721CCCCA"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2.3 Evidence from Research</w:t>
      </w:r>
    </w:p>
    <w:p w14:paraId="6B826BAD" w14:textId="6DED9801"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 xml:space="preserve">The tension between documentation and substance is not hypothetical. The FCA’s Year 2 Consumer Duty review (2026) found that many firms produced board reports describing compliance processes with no evidence of customer outcome improvement — documentation without substance. This is the exact failure mode that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’s mission opposes. In the US, OCC examination findings (2024–2025) showed that banks frequently maintained model inventories and formal validation reports without meaningful ongoing monitoring between validations. The documentation was present; the risk management was absent. This evidence directly shaped </w:t>
      </w:r>
      <w:r w:rsidR="00CC02B8">
        <w:rPr>
          <w:rFonts w:ascii="Times New Roman" w:hAnsi="Times New Roman" w:cs="Times New Roman"/>
          <w:sz w:val="24"/>
          <w:szCs w:val="24"/>
        </w:rPr>
        <w:t>Veridian</w:t>
      </w:r>
      <w:r w:rsidRPr="005341DD">
        <w:rPr>
          <w:rFonts w:ascii="Times New Roman" w:hAnsi="Times New Roman" w:cs="Times New Roman"/>
          <w:sz w:val="24"/>
          <w:szCs w:val="24"/>
        </w:rPr>
        <w:t>’s decision to prioritise continuous monitoring over documentation generation.</w:t>
      </w:r>
    </w:p>
    <w:p w14:paraId="5E09B243" w14:textId="77777777" w:rsidR="00485DC5" w:rsidRPr="005341DD" w:rsidRDefault="00485DC5" w:rsidP="00485DC5">
      <w:pPr>
        <w:jc w:val="both"/>
        <w:rPr>
          <w:rFonts w:ascii="Times New Roman" w:hAnsi="Times New Roman" w:cs="Times New Roman"/>
          <w:b/>
          <w:bCs/>
          <w:sz w:val="24"/>
          <w:szCs w:val="24"/>
        </w:rPr>
      </w:pPr>
    </w:p>
    <w:p w14:paraId="0569C3A9" w14:textId="746B9395"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2.4 Market Sizing and Ability to Pay</w:t>
      </w:r>
    </w:p>
    <w:p w14:paraId="7172E832" w14:textId="4F0988F3"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has sized the market. There are approximately 1,200 OCC</w:t>
      </w:r>
      <w:r w:rsidR="00485DC5" w:rsidRPr="005341DD">
        <w:rPr>
          <w:rFonts w:ascii="Times New Roman" w:hAnsi="Times New Roman" w:cs="Times New Roman"/>
          <w:sz w:val="24"/>
          <w:szCs w:val="24"/>
        </w:rPr>
        <w:noBreakHyphen/>
        <w:t>supervised banks in the US that deploy AI/ML models in material credit or operational decisions (OCC 2025 Model Risk Survey estimate). In Singapore, there are 28 full</w:t>
      </w:r>
      <w:r w:rsidR="00485DC5" w:rsidRPr="005341DD">
        <w:rPr>
          <w:rFonts w:ascii="Times New Roman" w:hAnsi="Times New Roman" w:cs="Times New Roman"/>
          <w:sz w:val="24"/>
          <w:szCs w:val="24"/>
        </w:rPr>
        <w:noBreakHyphen/>
        <w:t xml:space="preserve">bank licensees and approximately 60 digitally active financial institutions. The addressable market in the two primary jurisdictions is estimated at USD 850 million to USD 1.2 billion annually (Gartner RegTech Market Report 2025). Institutions in the pilot segment (USD 20 billion to USD 200 billion in assets) have dedicated model risk budgets that can absorb </w:t>
      </w:r>
      <w:r>
        <w:rPr>
          <w:rFonts w:ascii="Times New Roman" w:hAnsi="Times New Roman" w:cs="Times New Roman"/>
          <w:sz w:val="24"/>
          <w:szCs w:val="24"/>
        </w:rPr>
        <w:t>Veridian</w:t>
      </w:r>
      <w:r w:rsidR="00485DC5" w:rsidRPr="005341DD">
        <w:rPr>
          <w:rFonts w:ascii="Times New Roman" w:hAnsi="Times New Roman" w:cs="Times New Roman"/>
          <w:sz w:val="24"/>
          <w:szCs w:val="24"/>
        </w:rPr>
        <w:t>’s pricing. The decision to target the CMRO function (second line of defence) rather than a business</w:t>
      </w:r>
      <w:r w:rsidR="00485DC5" w:rsidRPr="005341DD">
        <w:rPr>
          <w:rFonts w:ascii="Times New Roman" w:hAnsi="Times New Roman" w:cs="Times New Roman"/>
          <w:sz w:val="24"/>
          <w:szCs w:val="24"/>
        </w:rPr>
        <w:noBreakHyphen/>
        <w:t>line compliance officer reflects both budget availability and decision</w:t>
      </w:r>
      <w:r w:rsidR="00485DC5" w:rsidRPr="005341DD">
        <w:rPr>
          <w:rFonts w:ascii="Times New Roman" w:hAnsi="Times New Roman" w:cs="Times New Roman"/>
          <w:sz w:val="24"/>
          <w:szCs w:val="24"/>
        </w:rPr>
        <w:noBreakHyphen/>
        <w:t>making authority.</w:t>
      </w:r>
    </w:p>
    <w:p w14:paraId="362216AC" w14:textId="77777777" w:rsidR="00485DC5" w:rsidRPr="005341DD" w:rsidRDefault="00485DC5">
      <w:pPr>
        <w:widowControl/>
        <w:rPr>
          <w:rFonts w:ascii="Times New Roman" w:hAnsi="Times New Roman" w:cs="Times New Roman"/>
          <w:sz w:val="24"/>
          <w:szCs w:val="24"/>
        </w:rPr>
      </w:pPr>
      <w:r w:rsidRPr="005341DD">
        <w:rPr>
          <w:rFonts w:ascii="Times New Roman" w:hAnsi="Times New Roman" w:cs="Times New Roman"/>
          <w:sz w:val="24"/>
          <w:szCs w:val="24"/>
        </w:rPr>
        <w:br w:type="page"/>
      </w:r>
    </w:p>
    <w:p w14:paraId="6042B309" w14:textId="4A6A886F"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lastRenderedPageBreak/>
        <w:t>3 Genuine Risk or Documentation Compliance?</w:t>
      </w:r>
    </w:p>
    <w:p w14:paraId="79DB3742"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3.1 The Central Design Question</w:t>
      </w:r>
    </w:p>
    <w:p w14:paraId="69E3DAC2" w14:textId="5BEE7CBA"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A compliance tool can prioritise genuine risk detection or compliant</w:t>
      </w:r>
      <w:r w:rsidRPr="005341DD">
        <w:rPr>
          <w:rFonts w:ascii="Times New Roman" w:hAnsi="Times New Roman" w:cs="Times New Roman"/>
          <w:sz w:val="24"/>
          <w:szCs w:val="24"/>
        </w:rPr>
        <w:noBreakHyphen/>
        <w:t xml:space="preserve">looking documentation. These are correlated but not the same. The question is whether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MRM has made choices that reflect the first objective even when those choices are commercially uncomfortable.</w:t>
      </w:r>
    </w:p>
    <w:p w14:paraId="45FD0931" w14:textId="77777777" w:rsidR="00485DC5" w:rsidRPr="005341DD" w:rsidRDefault="00485DC5" w:rsidP="00485DC5">
      <w:pPr>
        <w:jc w:val="both"/>
        <w:rPr>
          <w:rFonts w:ascii="Times New Roman" w:hAnsi="Times New Roman" w:cs="Times New Roman"/>
          <w:sz w:val="24"/>
          <w:szCs w:val="24"/>
        </w:rPr>
      </w:pPr>
    </w:p>
    <w:p w14:paraId="654C2103"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3.2 Feature Included for Risk Detection: Continuous PSI Monitoring</w:t>
      </w:r>
    </w:p>
    <w:p w14:paraId="349B5671" w14:textId="3F9CAA68"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MRM includes a continuous Population Stability Index (PSI) monitor that fires an alert when PSI exceeds 0.10 (MAS warning) or 0.15 (OCC warning). Neither OCC 2026</w:t>
      </w:r>
      <w:r w:rsidR="00485DC5" w:rsidRPr="005341DD">
        <w:rPr>
          <w:rFonts w:ascii="Times New Roman" w:hAnsi="Times New Roman" w:cs="Times New Roman"/>
          <w:sz w:val="24"/>
          <w:szCs w:val="24"/>
        </w:rPr>
        <w:noBreakHyphen/>
        <w:t xml:space="preserve">13 nor MAS 2024 mandates PSI monitoring specifically, sets numeric PSI thresholds, or requires this form of continuous data drift detection. The regulatory requirement is simply that models be ‘monitored for performance degradation’.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included continuous PSI monitoring because data distribution shift is the most common cause of silent model failure in production — and regulators will not detect it until adverse outcomes accumulate. The PSI alert catches genuine risk early, at the cost of generating alerts that clients sometimes find inconvenient. Several pilot clients have asked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to raise the thresholds; the company has declined.</w:t>
      </w:r>
    </w:p>
    <w:p w14:paraId="695D56E8" w14:textId="77777777" w:rsidR="00485DC5" w:rsidRPr="005341DD" w:rsidRDefault="00485DC5" w:rsidP="00485DC5">
      <w:pPr>
        <w:jc w:val="both"/>
        <w:rPr>
          <w:rFonts w:ascii="Times New Roman" w:hAnsi="Times New Roman" w:cs="Times New Roman"/>
          <w:sz w:val="24"/>
          <w:szCs w:val="24"/>
        </w:rPr>
      </w:pPr>
    </w:p>
    <w:p w14:paraId="46500B89"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3.3 Feature Excluded to Avoid Documentation Theatre: Auto</w:t>
      </w:r>
      <w:r w:rsidRPr="005341DD">
        <w:rPr>
          <w:rFonts w:ascii="Times New Roman" w:hAnsi="Times New Roman" w:cs="Times New Roman"/>
          <w:b/>
          <w:bCs/>
          <w:sz w:val="24"/>
          <w:szCs w:val="24"/>
        </w:rPr>
        <w:noBreakHyphen/>
        <w:t>Generated Validation Reports</w:t>
      </w:r>
    </w:p>
    <w:p w14:paraId="07D7627C" w14:textId="233BA9FF" w:rsidR="00485DC5" w:rsidRPr="005341DD" w:rsidRDefault="00CC02B8" w:rsidP="00485DC5">
      <w:pPr>
        <w:jc w:val="both"/>
        <w:rPr>
          <w:rFonts w:ascii="Times New Roman" w:hAnsi="Times New Roman" w:cs="Times New Roman"/>
          <w:sz w:val="24"/>
          <w:szCs w:val="24"/>
        </w:rPr>
      </w:pP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MRM deliberately does not auto</w:t>
      </w:r>
      <w:r w:rsidR="00485DC5" w:rsidRPr="005341DD">
        <w:rPr>
          <w:rFonts w:ascii="Times New Roman" w:hAnsi="Times New Roman" w:cs="Times New Roman"/>
          <w:sz w:val="24"/>
          <w:szCs w:val="24"/>
        </w:rPr>
        <w:noBreakHyphen/>
        <w:t>generate OCC</w:t>
      </w:r>
      <w:r w:rsidR="00485DC5" w:rsidRPr="005341DD">
        <w:rPr>
          <w:rFonts w:ascii="Times New Roman" w:hAnsi="Times New Roman" w:cs="Times New Roman"/>
          <w:sz w:val="24"/>
          <w:szCs w:val="24"/>
        </w:rPr>
        <w:noBreakHyphen/>
        <w:t xml:space="preserve">format Model Validation Reports or MAS AI MRM compliance certificates. Several RegTech competitors offer this feature, but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chose not to because it assessed auto</w:t>
      </w:r>
      <w:r w:rsidR="00485DC5" w:rsidRPr="005341DD">
        <w:rPr>
          <w:rFonts w:ascii="Times New Roman" w:hAnsi="Times New Roman" w:cs="Times New Roman"/>
          <w:sz w:val="24"/>
          <w:szCs w:val="24"/>
        </w:rPr>
        <w:noBreakHyphen/>
        <w:t>generation as serving documentation over substance. An auto</w:t>
      </w:r>
      <w:r w:rsidR="00485DC5" w:rsidRPr="005341DD">
        <w:rPr>
          <w:rFonts w:ascii="Times New Roman" w:hAnsi="Times New Roman" w:cs="Times New Roman"/>
          <w:sz w:val="24"/>
          <w:szCs w:val="24"/>
        </w:rPr>
        <w:noBreakHyphen/>
        <w:t>generated validation report creates a plausible</w:t>
      </w:r>
      <w:r w:rsidR="00485DC5" w:rsidRPr="005341DD">
        <w:rPr>
          <w:rFonts w:ascii="Times New Roman" w:hAnsi="Times New Roman" w:cs="Times New Roman"/>
          <w:sz w:val="24"/>
          <w:szCs w:val="24"/>
        </w:rPr>
        <w:noBreakHyphen/>
        <w:t xml:space="preserve">looking artefact without requiring a qualified validator’s judgment. A bank could run </w:t>
      </w:r>
      <w:r>
        <w:rPr>
          <w:rFonts w:ascii="Times New Roman" w:hAnsi="Times New Roman" w:cs="Times New Roman"/>
          <w:sz w:val="24"/>
          <w:szCs w:val="24"/>
        </w:rPr>
        <w:t>Veridian</w:t>
      </w:r>
      <w:r w:rsidR="00485DC5" w:rsidRPr="005341DD">
        <w:rPr>
          <w:rFonts w:ascii="Times New Roman" w:hAnsi="Times New Roman" w:cs="Times New Roman"/>
          <w:sz w:val="24"/>
          <w:szCs w:val="24"/>
        </w:rPr>
        <w:t xml:space="preserve"> MRM, click ‘Generate Report’, and submit it to the OCC without a single qualified person reviewing the model’s conceptual soundness, data lineage, or out</w:t>
      </w:r>
      <w:r w:rsidR="00485DC5" w:rsidRPr="005341DD">
        <w:rPr>
          <w:rFonts w:ascii="Times New Roman" w:hAnsi="Times New Roman" w:cs="Times New Roman"/>
          <w:sz w:val="24"/>
          <w:szCs w:val="24"/>
        </w:rPr>
        <w:noBreakHyphen/>
        <w:t>of</w:t>
      </w:r>
      <w:r w:rsidR="00485DC5" w:rsidRPr="005341DD">
        <w:rPr>
          <w:rFonts w:ascii="Times New Roman" w:hAnsi="Times New Roman" w:cs="Times New Roman"/>
          <w:sz w:val="24"/>
          <w:szCs w:val="24"/>
        </w:rPr>
        <w:noBreakHyphen/>
        <w:t xml:space="preserve">sample performance. This is precisely the checkbox compliance that </w:t>
      </w:r>
      <w:r>
        <w:rPr>
          <w:rFonts w:ascii="Times New Roman" w:hAnsi="Times New Roman" w:cs="Times New Roman"/>
          <w:sz w:val="24"/>
          <w:szCs w:val="24"/>
        </w:rPr>
        <w:t>Veridian</w:t>
      </w:r>
      <w:r w:rsidR="00485DC5" w:rsidRPr="005341DD">
        <w:rPr>
          <w:rFonts w:ascii="Times New Roman" w:hAnsi="Times New Roman" w:cs="Times New Roman"/>
          <w:sz w:val="24"/>
          <w:szCs w:val="24"/>
        </w:rPr>
        <w:t>’s mission opposes. The company includes documentation stubs and data exports that support validator work but does not replace the validator’s judgment. This decision has cost at least two potential clients who wanted the feature.</w:t>
      </w:r>
    </w:p>
    <w:p w14:paraId="6CE9EF1C" w14:textId="5B6A0DFB" w:rsidR="00485DC5" w:rsidRPr="005341DD" w:rsidRDefault="00485DC5">
      <w:pPr>
        <w:widowControl/>
        <w:rPr>
          <w:rFonts w:ascii="Times New Roman" w:hAnsi="Times New Roman" w:cs="Times New Roman"/>
          <w:sz w:val="24"/>
          <w:szCs w:val="24"/>
        </w:rPr>
      </w:pPr>
      <w:r w:rsidRPr="005341DD">
        <w:rPr>
          <w:rFonts w:ascii="Times New Roman" w:hAnsi="Times New Roman" w:cs="Times New Roman"/>
          <w:sz w:val="24"/>
          <w:szCs w:val="24"/>
        </w:rPr>
        <w:br w:type="page"/>
      </w:r>
    </w:p>
    <w:p w14:paraId="6586EA9F" w14:textId="7400E13D"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lastRenderedPageBreak/>
        <w:t>4 Who Bears the Cost When the Tool Gets It Wrong?</w:t>
      </w:r>
    </w:p>
    <w:p w14:paraId="03E3D3DF"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Compliance tools fail in four distinct ways. Each failure mode harms different stakeholders, with very different recovery profiles.</w:t>
      </w:r>
    </w:p>
    <w:p w14:paraId="728BC6C8" w14:textId="77777777" w:rsidR="00485DC5" w:rsidRPr="005341DD" w:rsidRDefault="00485DC5" w:rsidP="00485DC5">
      <w:pPr>
        <w:jc w:val="both"/>
        <w:rPr>
          <w:rFonts w:ascii="Times New Roman" w:hAnsi="Times New Roman" w:cs="Times New Roman"/>
          <w:b/>
          <w:bCs/>
          <w:sz w:val="24"/>
          <w:szCs w:val="24"/>
        </w:rPr>
      </w:pPr>
    </w:p>
    <w:p w14:paraId="5643BA06" w14:textId="4248810E"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4.1 False Positives</w:t>
      </w:r>
    </w:p>
    <w:p w14:paraId="7F4451DE" w14:textId="5A3062F4"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False positives occur when a compliant model is flagged as non</w:t>
      </w:r>
      <w:r w:rsidRPr="005341DD">
        <w:rPr>
          <w:rFonts w:ascii="Times New Roman" w:hAnsi="Times New Roman" w:cs="Times New Roman"/>
          <w:sz w:val="24"/>
          <w:szCs w:val="24"/>
        </w:rPr>
        <w:noBreakHyphen/>
        <w:t xml:space="preserve">compliant. The bank model owner and CMRO bear the cost: unnecessary revalidation costing USD 50,000–200,000 per engagement, project delays, and loss of internal credibility with business lines. The consumer is unaffected. Severity is low and recoverable — mainly an institutional cost and relationship problem for </w:t>
      </w:r>
      <w:r w:rsidR="00CC02B8">
        <w:rPr>
          <w:rFonts w:ascii="Times New Roman" w:hAnsi="Times New Roman" w:cs="Times New Roman"/>
          <w:sz w:val="24"/>
          <w:szCs w:val="24"/>
        </w:rPr>
        <w:t>Veridian</w:t>
      </w:r>
      <w:r w:rsidRPr="005341DD">
        <w:rPr>
          <w:rFonts w:ascii="Times New Roman" w:hAnsi="Times New Roman" w:cs="Times New Roman"/>
          <w:sz w:val="24"/>
          <w:szCs w:val="24"/>
        </w:rPr>
        <w:t>.</w:t>
      </w:r>
    </w:p>
    <w:p w14:paraId="3361504C" w14:textId="77777777" w:rsidR="00485DC5" w:rsidRPr="005341DD" w:rsidRDefault="00485DC5" w:rsidP="00485DC5">
      <w:pPr>
        <w:jc w:val="both"/>
        <w:rPr>
          <w:rFonts w:ascii="Times New Roman" w:hAnsi="Times New Roman" w:cs="Times New Roman"/>
          <w:b/>
          <w:bCs/>
          <w:sz w:val="24"/>
          <w:szCs w:val="24"/>
        </w:rPr>
      </w:pPr>
    </w:p>
    <w:p w14:paraId="7B059BBE" w14:textId="7755D88B"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4.2 False Negatives</w:t>
      </w:r>
    </w:p>
    <w:p w14:paraId="2134D005" w14:textId="77777777"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False negatives are more severe. A genuine drift or compliance failure is missed. The model continues operating in a degraded state. Credit decisions become systematically mispriced; AML false negatives allow illicit flows; regulatory action follows, but only after consumer harm has accumulated. Bank customers bear the primary harm — denied credit, discriminatory pricing, missed AML flags. The institution eventually bears regulatory costs (USD 5 million to USD 50 million). This is high severity and partially unrecoverable for harmed consumers.</w:t>
      </w:r>
    </w:p>
    <w:p w14:paraId="689DA70A" w14:textId="77777777" w:rsidR="00485DC5" w:rsidRPr="005341DD" w:rsidRDefault="00485DC5" w:rsidP="00485DC5">
      <w:pPr>
        <w:jc w:val="both"/>
        <w:rPr>
          <w:rFonts w:ascii="Times New Roman" w:hAnsi="Times New Roman" w:cs="Times New Roman"/>
          <w:b/>
          <w:bCs/>
          <w:sz w:val="24"/>
          <w:szCs w:val="24"/>
        </w:rPr>
      </w:pPr>
    </w:p>
    <w:p w14:paraId="021D1D5F" w14:textId="79310853"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 xml:space="preserve">4.3 Performance Drift of </w:t>
      </w:r>
      <w:r w:rsidR="00CC02B8">
        <w:rPr>
          <w:rFonts w:ascii="Times New Roman" w:hAnsi="Times New Roman" w:cs="Times New Roman"/>
          <w:b/>
          <w:bCs/>
          <w:sz w:val="24"/>
          <w:szCs w:val="24"/>
        </w:rPr>
        <w:t>Veridian</w:t>
      </w:r>
      <w:r w:rsidRPr="005341DD">
        <w:rPr>
          <w:rFonts w:ascii="Times New Roman" w:hAnsi="Times New Roman" w:cs="Times New Roman"/>
          <w:b/>
          <w:bCs/>
          <w:sz w:val="24"/>
          <w:szCs w:val="24"/>
        </w:rPr>
        <w:t xml:space="preserve"> MRM</w:t>
      </w:r>
    </w:p>
    <w:p w14:paraId="31FC78EA" w14:textId="6BFB803A"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 xml:space="preserve">Performance drift of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MRM itself is a meta</w:t>
      </w:r>
      <w:r w:rsidRPr="005341DD">
        <w:rPr>
          <w:rFonts w:ascii="Times New Roman" w:hAnsi="Times New Roman" w:cs="Times New Roman"/>
          <w:sz w:val="24"/>
          <w:szCs w:val="24"/>
        </w:rPr>
        <w:noBreakHyphen/>
        <w:t xml:space="preserve">failure.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uses ML to classify model risk tiers. If its own classification accuracy degrades, it gives incorrect governance recommendations and becomes the compliance risk. The institution that trusts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and the regulator who relies on that institution, bear the cost. This is the failure mode with which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is most acutely uncomfortable. The company mitigates by self</w:t>
      </w:r>
      <w:r w:rsidRPr="005341DD">
        <w:rPr>
          <w:rFonts w:ascii="Times New Roman" w:hAnsi="Times New Roman" w:cs="Times New Roman"/>
          <w:sz w:val="24"/>
          <w:szCs w:val="24"/>
        </w:rPr>
        <w:noBreakHyphen/>
        <w:t xml:space="preserve">applying its MRM framework to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MRM itself.</w:t>
      </w:r>
    </w:p>
    <w:p w14:paraId="31F4A3C0" w14:textId="77777777" w:rsidR="00485DC5" w:rsidRPr="005341DD" w:rsidRDefault="00485DC5" w:rsidP="00485DC5">
      <w:pPr>
        <w:jc w:val="both"/>
        <w:rPr>
          <w:rFonts w:ascii="Times New Roman" w:hAnsi="Times New Roman" w:cs="Times New Roman"/>
          <w:b/>
          <w:bCs/>
          <w:sz w:val="24"/>
          <w:szCs w:val="24"/>
        </w:rPr>
      </w:pPr>
    </w:p>
    <w:p w14:paraId="3DB773B7" w14:textId="031E06B9"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t>4.4 Jurisdictional Misconfiguration</w:t>
      </w:r>
    </w:p>
    <w:p w14:paraId="41DF01A2" w14:textId="3E872A23"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sz w:val="24"/>
          <w:szCs w:val="24"/>
        </w:rPr>
        <w:t>Jurisdictional misconfiguration is the most insidious failure. If a user applies OCC rules to a Singapore model, the bank under</w:t>
      </w:r>
      <w:r w:rsidRPr="005341DD">
        <w:rPr>
          <w:rFonts w:ascii="Times New Roman" w:hAnsi="Times New Roman" w:cs="Times New Roman"/>
          <w:sz w:val="24"/>
          <w:szCs w:val="24"/>
        </w:rPr>
        <w:noBreakHyphen/>
        <w:t>documents, fails MAS SREP, and — crucially — the CMRO faces personal SMAR liability in Singapore. If the reverse happens (MAS rules applied to an OCC model), the bank over</w:t>
      </w:r>
      <w:r w:rsidRPr="005341DD">
        <w:rPr>
          <w:rFonts w:ascii="Times New Roman" w:hAnsi="Times New Roman" w:cs="Times New Roman"/>
          <w:sz w:val="24"/>
          <w:szCs w:val="24"/>
        </w:rPr>
        <w:noBreakHyphen/>
        <w:t xml:space="preserve">invests in compliance and wastes resources but faces no regulatory exposure. The compound failure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worries about most is a false negative combined with jurisdictional misconfiguration. A CMRO who has misconfigured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MRM to apply OCC rules to Singapore models will receive a clean dashboard while Singapore models accumulate explainability deficits and SMAR assignment gaps that MAS will find at examination. The trust chain is: consumer trusts regulator, regulator trusts bank, bank trusts CMRO, CMRO trusts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MRM. If </w:t>
      </w:r>
      <w:r w:rsidR="00CC02B8">
        <w:rPr>
          <w:rFonts w:ascii="Times New Roman" w:hAnsi="Times New Roman" w:cs="Times New Roman"/>
          <w:sz w:val="24"/>
          <w:szCs w:val="24"/>
        </w:rPr>
        <w:t>Veridian</w:t>
      </w:r>
      <w:r w:rsidRPr="005341DD">
        <w:rPr>
          <w:rFonts w:ascii="Times New Roman" w:hAnsi="Times New Roman" w:cs="Times New Roman"/>
          <w:sz w:val="24"/>
          <w:szCs w:val="24"/>
        </w:rPr>
        <w:t xml:space="preserve"> is wrong, the failure propagates silently. The company mitigates by requiring explicit, human</w:t>
      </w:r>
      <w:r w:rsidRPr="005341DD">
        <w:rPr>
          <w:rFonts w:ascii="Times New Roman" w:hAnsi="Times New Roman" w:cs="Times New Roman"/>
          <w:sz w:val="24"/>
          <w:szCs w:val="24"/>
        </w:rPr>
        <w:noBreakHyphen/>
        <w:t>confirmed jurisdiction attestation before any model enters the system. Automation cannot set jurisdiction; a named person must.</w:t>
      </w:r>
    </w:p>
    <w:p w14:paraId="4F9B7DE5" w14:textId="77777777" w:rsidR="00485DC5" w:rsidRPr="005341DD" w:rsidRDefault="00485DC5">
      <w:pPr>
        <w:widowControl/>
        <w:rPr>
          <w:rFonts w:ascii="Times New Roman" w:hAnsi="Times New Roman" w:cs="Times New Roman"/>
          <w:sz w:val="24"/>
          <w:szCs w:val="24"/>
        </w:rPr>
      </w:pPr>
      <w:r w:rsidRPr="005341DD">
        <w:rPr>
          <w:rFonts w:ascii="Times New Roman" w:hAnsi="Times New Roman" w:cs="Times New Roman"/>
          <w:sz w:val="24"/>
          <w:szCs w:val="24"/>
        </w:rPr>
        <w:br w:type="page"/>
      </w:r>
    </w:p>
    <w:p w14:paraId="12110551" w14:textId="60CDD5F9" w:rsidR="00485DC5" w:rsidRPr="005341DD" w:rsidRDefault="00485DC5" w:rsidP="00485DC5">
      <w:pPr>
        <w:jc w:val="both"/>
        <w:rPr>
          <w:rFonts w:ascii="Times New Roman" w:hAnsi="Times New Roman" w:cs="Times New Roman"/>
          <w:sz w:val="24"/>
          <w:szCs w:val="24"/>
        </w:rPr>
      </w:pPr>
      <w:r w:rsidRPr="005341DD">
        <w:rPr>
          <w:rFonts w:ascii="Times New Roman" w:hAnsi="Times New Roman" w:cs="Times New Roman"/>
          <w:b/>
          <w:bCs/>
          <w:sz w:val="24"/>
          <w:szCs w:val="24"/>
        </w:rPr>
        <w:lastRenderedPageBreak/>
        <w:t>5 References</w:t>
      </w:r>
    </w:p>
    <w:p w14:paraId="3205AE92" w14:textId="0B134708" w:rsidR="00485DC5" w:rsidRPr="005341DD" w:rsidRDefault="00485DC5" w:rsidP="00485DC5">
      <w:pPr>
        <w:pStyle w:val="a4"/>
        <w:numPr>
          <w:ilvl w:val="0"/>
          <w:numId w:val="11"/>
        </w:numPr>
        <w:jc w:val="both"/>
        <w:rPr>
          <w:rFonts w:ascii="Times New Roman" w:hAnsi="Times New Roman" w:cs="Times New Roman"/>
          <w:sz w:val="24"/>
          <w:szCs w:val="24"/>
        </w:rPr>
      </w:pPr>
      <w:hyperlink r:id="rId7" w:tgtFrame="_blank" w:history="1">
        <w:r w:rsidRPr="005341DD">
          <w:rPr>
            <w:rStyle w:val="a5"/>
            <w:rFonts w:ascii="Times New Roman" w:hAnsi="Times New Roman" w:cs="Times New Roman"/>
            <w:color w:val="auto"/>
            <w:sz w:val="24"/>
            <w:szCs w:val="24"/>
            <w:u w:val="none"/>
          </w:rPr>
          <w:t>https://www.fca.org.uk/news/blogs/year-2-consumer-duty-board-reports-progress-and-what-comes-next</w:t>
        </w:r>
      </w:hyperlink>
    </w:p>
    <w:p w14:paraId="1F06EF15" w14:textId="1B3994EF" w:rsidR="00485DC5" w:rsidRPr="005341DD" w:rsidRDefault="00485DC5" w:rsidP="00485DC5">
      <w:pPr>
        <w:pStyle w:val="a4"/>
        <w:numPr>
          <w:ilvl w:val="0"/>
          <w:numId w:val="11"/>
        </w:numPr>
        <w:jc w:val="both"/>
        <w:rPr>
          <w:rFonts w:ascii="Times New Roman" w:hAnsi="Times New Roman" w:cs="Times New Roman"/>
          <w:sz w:val="24"/>
          <w:szCs w:val="24"/>
        </w:rPr>
      </w:pPr>
      <w:hyperlink r:id="rId8" w:tgtFrame="_blank" w:history="1">
        <w:r w:rsidRPr="005341DD">
          <w:rPr>
            <w:rStyle w:val="a5"/>
            <w:rFonts w:ascii="Times New Roman" w:hAnsi="Times New Roman" w:cs="Times New Roman"/>
            <w:color w:val="auto"/>
            <w:sz w:val="24"/>
            <w:szCs w:val="24"/>
            <w:u w:val="none"/>
          </w:rPr>
          <w:t>https://www.occ.treas.gov/news-issuances/bulletins/2026/bulletin-2026-13.html</w:t>
        </w:r>
      </w:hyperlink>
    </w:p>
    <w:p w14:paraId="680EBC83" w14:textId="7D98A5D7" w:rsidR="00485DC5" w:rsidRPr="005341DD" w:rsidRDefault="00485DC5" w:rsidP="00485DC5">
      <w:pPr>
        <w:pStyle w:val="a4"/>
        <w:numPr>
          <w:ilvl w:val="0"/>
          <w:numId w:val="11"/>
        </w:numPr>
        <w:jc w:val="both"/>
        <w:rPr>
          <w:rFonts w:ascii="Times New Roman" w:hAnsi="Times New Roman" w:cs="Times New Roman"/>
          <w:sz w:val="24"/>
          <w:szCs w:val="24"/>
        </w:rPr>
      </w:pPr>
      <w:hyperlink r:id="rId9" w:tgtFrame="_blank" w:history="1">
        <w:r w:rsidRPr="005341DD">
          <w:rPr>
            <w:rStyle w:val="a5"/>
            <w:rFonts w:ascii="Times New Roman" w:hAnsi="Times New Roman" w:cs="Times New Roman"/>
            <w:color w:val="auto"/>
            <w:sz w:val="24"/>
            <w:szCs w:val="24"/>
            <w:u w:val="none"/>
          </w:rPr>
          <w:t>https://www.mas.gov.sg/publications/monographs-or-information-paper/2018/feat-principles</w:t>
        </w:r>
      </w:hyperlink>
    </w:p>
    <w:p w14:paraId="36394DA8" w14:textId="00430EB6" w:rsidR="00F653D2" w:rsidRPr="005341DD" w:rsidRDefault="00485DC5" w:rsidP="00485DC5">
      <w:pPr>
        <w:pStyle w:val="a4"/>
        <w:numPr>
          <w:ilvl w:val="0"/>
          <w:numId w:val="11"/>
        </w:numPr>
        <w:jc w:val="both"/>
        <w:rPr>
          <w:rFonts w:ascii="Times New Roman" w:hAnsi="Times New Roman" w:cs="Times New Roman"/>
          <w:sz w:val="24"/>
          <w:szCs w:val="24"/>
        </w:rPr>
      </w:pPr>
      <w:r w:rsidRPr="005341DD">
        <w:rPr>
          <w:rFonts w:ascii="Times New Roman" w:hAnsi="Times New Roman" w:cs="Times New Roman"/>
          <w:sz w:val="24"/>
          <w:szCs w:val="24"/>
        </w:rPr>
        <w:t>Gartner RegTech Market Report 2025</w:t>
      </w:r>
    </w:p>
    <w:sectPr w:rsidR="00F653D2" w:rsidRPr="005341DD">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EF0C" w14:textId="77777777" w:rsidR="005D33B2" w:rsidRDefault="005D33B2" w:rsidP="00CC02B8">
      <w:r>
        <w:separator/>
      </w:r>
    </w:p>
  </w:endnote>
  <w:endnote w:type="continuationSeparator" w:id="0">
    <w:p w14:paraId="208D78A7" w14:textId="77777777" w:rsidR="005D33B2" w:rsidRDefault="005D33B2" w:rsidP="00CC0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E52EA" w14:textId="77777777" w:rsidR="005D33B2" w:rsidRDefault="005D33B2" w:rsidP="00CC02B8">
      <w:r>
        <w:separator/>
      </w:r>
    </w:p>
  </w:footnote>
  <w:footnote w:type="continuationSeparator" w:id="0">
    <w:p w14:paraId="3C17255A" w14:textId="77777777" w:rsidR="005D33B2" w:rsidRDefault="005D33B2" w:rsidP="00CC02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28BA"/>
    <w:multiLevelType w:val="multilevel"/>
    <w:tmpl w:val="3784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26A7B"/>
    <w:multiLevelType w:val="multilevel"/>
    <w:tmpl w:val="5E38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518BD"/>
    <w:multiLevelType w:val="multilevel"/>
    <w:tmpl w:val="6B5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A1C8C"/>
    <w:multiLevelType w:val="hybridMultilevel"/>
    <w:tmpl w:val="B3404F96"/>
    <w:lvl w:ilvl="0" w:tplc="B5E81E0A">
      <w:start w:val="1"/>
      <w:numFmt w:val="bullet"/>
      <w:lvlText w:val="•"/>
      <w:lvlJc w:val="left"/>
      <w:pPr>
        <w:ind w:left="720" w:hanging="360"/>
      </w:pPr>
    </w:lvl>
    <w:lvl w:ilvl="1" w:tplc="D9A07682">
      <w:start w:val="1"/>
      <w:numFmt w:val="bullet"/>
      <w:lvlText w:val="○"/>
      <w:lvlJc w:val="left"/>
      <w:pPr>
        <w:ind w:left="1080" w:hanging="360"/>
      </w:pPr>
    </w:lvl>
    <w:lvl w:ilvl="2" w:tplc="DA7AF2CA">
      <w:numFmt w:val="decimal"/>
      <w:lvlText w:val=""/>
      <w:lvlJc w:val="left"/>
    </w:lvl>
    <w:lvl w:ilvl="3" w:tplc="ED5473B6">
      <w:numFmt w:val="decimal"/>
      <w:lvlText w:val=""/>
      <w:lvlJc w:val="left"/>
    </w:lvl>
    <w:lvl w:ilvl="4" w:tplc="A7B8BCC8">
      <w:numFmt w:val="decimal"/>
      <w:lvlText w:val=""/>
      <w:lvlJc w:val="left"/>
    </w:lvl>
    <w:lvl w:ilvl="5" w:tplc="DC3A26DC">
      <w:numFmt w:val="decimal"/>
      <w:lvlText w:val=""/>
      <w:lvlJc w:val="left"/>
    </w:lvl>
    <w:lvl w:ilvl="6" w:tplc="1F84808A">
      <w:numFmt w:val="decimal"/>
      <w:lvlText w:val=""/>
      <w:lvlJc w:val="left"/>
    </w:lvl>
    <w:lvl w:ilvl="7" w:tplc="B0066048">
      <w:numFmt w:val="decimal"/>
      <w:lvlText w:val=""/>
      <w:lvlJc w:val="left"/>
    </w:lvl>
    <w:lvl w:ilvl="8" w:tplc="0DBAD386">
      <w:numFmt w:val="decimal"/>
      <w:lvlText w:val=""/>
      <w:lvlJc w:val="left"/>
    </w:lvl>
  </w:abstractNum>
  <w:abstractNum w:abstractNumId="4" w15:restartNumberingAfterBreak="0">
    <w:nsid w:val="43EB4879"/>
    <w:multiLevelType w:val="multilevel"/>
    <w:tmpl w:val="FDC29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441934"/>
    <w:multiLevelType w:val="hybridMultilevel"/>
    <w:tmpl w:val="173830CC"/>
    <w:lvl w:ilvl="0" w:tplc="47FC2448">
      <w:start w:val="1"/>
      <w:numFmt w:val="decimal"/>
      <w:lvlText w:val="%1."/>
      <w:lvlJc w:val="left"/>
      <w:pPr>
        <w:ind w:left="720" w:hanging="360"/>
      </w:pPr>
    </w:lvl>
    <w:lvl w:ilvl="1" w:tplc="21D66D04">
      <w:numFmt w:val="decimal"/>
      <w:lvlText w:val=""/>
      <w:lvlJc w:val="left"/>
    </w:lvl>
    <w:lvl w:ilvl="2" w:tplc="C30410CC">
      <w:numFmt w:val="decimal"/>
      <w:lvlText w:val=""/>
      <w:lvlJc w:val="left"/>
    </w:lvl>
    <w:lvl w:ilvl="3" w:tplc="DF045F4E">
      <w:numFmt w:val="decimal"/>
      <w:lvlText w:val=""/>
      <w:lvlJc w:val="left"/>
    </w:lvl>
    <w:lvl w:ilvl="4" w:tplc="8FE0E7DA">
      <w:numFmt w:val="decimal"/>
      <w:lvlText w:val=""/>
      <w:lvlJc w:val="left"/>
    </w:lvl>
    <w:lvl w:ilvl="5" w:tplc="27FA2BE6">
      <w:numFmt w:val="decimal"/>
      <w:lvlText w:val=""/>
      <w:lvlJc w:val="left"/>
    </w:lvl>
    <w:lvl w:ilvl="6" w:tplc="6CCC4A7E">
      <w:numFmt w:val="decimal"/>
      <w:lvlText w:val=""/>
      <w:lvlJc w:val="left"/>
    </w:lvl>
    <w:lvl w:ilvl="7" w:tplc="2CAAF228">
      <w:numFmt w:val="decimal"/>
      <w:lvlText w:val=""/>
      <w:lvlJc w:val="left"/>
    </w:lvl>
    <w:lvl w:ilvl="8" w:tplc="8EB4059E">
      <w:numFmt w:val="decimal"/>
      <w:lvlText w:val=""/>
      <w:lvlJc w:val="left"/>
    </w:lvl>
  </w:abstractNum>
  <w:abstractNum w:abstractNumId="6" w15:restartNumberingAfterBreak="0">
    <w:nsid w:val="5571168E"/>
    <w:multiLevelType w:val="hybridMultilevel"/>
    <w:tmpl w:val="C5165FC2"/>
    <w:lvl w:ilvl="0" w:tplc="F326878E">
      <w:start w:val="1"/>
      <w:numFmt w:val="bullet"/>
      <w:lvlText w:val="●"/>
      <w:lvlJc w:val="left"/>
      <w:pPr>
        <w:ind w:left="720" w:hanging="360"/>
      </w:pPr>
    </w:lvl>
    <w:lvl w:ilvl="1" w:tplc="E4ECB7EE">
      <w:start w:val="1"/>
      <w:numFmt w:val="bullet"/>
      <w:lvlText w:val="○"/>
      <w:lvlJc w:val="left"/>
      <w:pPr>
        <w:ind w:left="1440" w:hanging="360"/>
      </w:pPr>
    </w:lvl>
    <w:lvl w:ilvl="2" w:tplc="B86A29D0">
      <w:start w:val="1"/>
      <w:numFmt w:val="bullet"/>
      <w:lvlText w:val="■"/>
      <w:lvlJc w:val="left"/>
      <w:pPr>
        <w:ind w:left="2160" w:hanging="360"/>
      </w:pPr>
    </w:lvl>
    <w:lvl w:ilvl="3" w:tplc="8988A8E8">
      <w:start w:val="1"/>
      <w:numFmt w:val="bullet"/>
      <w:lvlText w:val="●"/>
      <w:lvlJc w:val="left"/>
      <w:pPr>
        <w:ind w:left="2880" w:hanging="360"/>
      </w:pPr>
    </w:lvl>
    <w:lvl w:ilvl="4" w:tplc="439C3B6E">
      <w:start w:val="1"/>
      <w:numFmt w:val="bullet"/>
      <w:lvlText w:val="○"/>
      <w:lvlJc w:val="left"/>
      <w:pPr>
        <w:ind w:left="3600" w:hanging="360"/>
      </w:pPr>
    </w:lvl>
    <w:lvl w:ilvl="5" w:tplc="70280FFC">
      <w:start w:val="1"/>
      <w:numFmt w:val="bullet"/>
      <w:lvlText w:val="■"/>
      <w:lvlJc w:val="left"/>
      <w:pPr>
        <w:ind w:left="4320" w:hanging="360"/>
      </w:pPr>
    </w:lvl>
    <w:lvl w:ilvl="6" w:tplc="B288AA6E">
      <w:start w:val="1"/>
      <w:numFmt w:val="bullet"/>
      <w:lvlText w:val="●"/>
      <w:lvlJc w:val="left"/>
      <w:pPr>
        <w:ind w:left="5040" w:hanging="360"/>
      </w:pPr>
    </w:lvl>
    <w:lvl w:ilvl="7" w:tplc="D1FE80AE">
      <w:start w:val="1"/>
      <w:numFmt w:val="bullet"/>
      <w:lvlText w:val="●"/>
      <w:lvlJc w:val="left"/>
      <w:pPr>
        <w:ind w:left="5760" w:hanging="360"/>
      </w:pPr>
    </w:lvl>
    <w:lvl w:ilvl="8" w:tplc="14A8D2CC">
      <w:start w:val="1"/>
      <w:numFmt w:val="bullet"/>
      <w:lvlText w:val="●"/>
      <w:lvlJc w:val="left"/>
      <w:pPr>
        <w:ind w:left="6480" w:hanging="360"/>
      </w:pPr>
    </w:lvl>
  </w:abstractNum>
  <w:abstractNum w:abstractNumId="7" w15:restartNumberingAfterBreak="0">
    <w:nsid w:val="65484C78"/>
    <w:multiLevelType w:val="multilevel"/>
    <w:tmpl w:val="C560A8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611863"/>
    <w:multiLevelType w:val="hybridMultilevel"/>
    <w:tmpl w:val="81DAF1C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4E67626"/>
    <w:multiLevelType w:val="multilevel"/>
    <w:tmpl w:val="A2CAD1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4B6EB7"/>
    <w:multiLevelType w:val="multilevel"/>
    <w:tmpl w:val="7324B9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006557">
    <w:abstractNumId w:val="6"/>
    <w:lvlOverride w:ilvl="0">
      <w:startOverride w:val="1"/>
    </w:lvlOverride>
  </w:num>
  <w:num w:numId="2" w16cid:durableId="1785150996">
    <w:abstractNumId w:val="3"/>
    <w:lvlOverride w:ilvl="0">
      <w:startOverride w:val="1"/>
    </w:lvlOverride>
  </w:num>
  <w:num w:numId="3" w16cid:durableId="2067680227">
    <w:abstractNumId w:val="5"/>
    <w:lvlOverride w:ilvl="0">
      <w:startOverride w:val="1"/>
    </w:lvlOverride>
  </w:num>
  <w:num w:numId="4" w16cid:durableId="1564634416">
    <w:abstractNumId w:val="1"/>
  </w:num>
  <w:num w:numId="5" w16cid:durableId="136461670">
    <w:abstractNumId w:val="2"/>
  </w:num>
  <w:num w:numId="6" w16cid:durableId="1499880513">
    <w:abstractNumId w:val="4"/>
  </w:num>
  <w:num w:numId="7" w16cid:durableId="380860513">
    <w:abstractNumId w:val="10"/>
  </w:num>
  <w:num w:numId="8" w16cid:durableId="161705877">
    <w:abstractNumId w:val="9"/>
  </w:num>
  <w:num w:numId="9" w16cid:durableId="1788695448">
    <w:abstractNumId w:val="7"/>
  </w:num>
  <w:num w:numId="10" w16cid:durableId="2102558280">
    <w:abstractNumId w:val="0"/>
  </w:num>
  <w:num w:numId="11" w16cid:durableId="841238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3D2"/>
    <w:rsid w:val="00485DC5"/>
    <w:rsid w:val="005341DD"/>
    <w:rsid w:val="005D33B2"/>
    <w:rsid w:val="006020B3"/>
    <w:rsid w:val="006E1EE3"/>
    <w:rsid w:val="007E10E2"/>
    <w:rsid w:val="00CC02B8"/>
    <w:rsid w:val="00CE3965"/>
    <w:rsid w:val="00D23B89"/>
    <w:rsid w:val="00DA53C1"/>
    <w:rsid w:val="00F65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C84E7"/>
  <w15:docId w15:val="{61535EA6-25EE-4D2E-8138-8D75661E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eastAsia="Arial"/>
      <w:b/>
      <w:bCs/>
      <w:color w:val="1B3A6B"/>
      <w:sz w:val="30"/>
      <w:szCs w:val="30"/>
    </w:rPr>
  </w:style>
  <w:style w:type="paragraph" w:styleId="2">
    <w:name w:val="heading 2"/>
    <w:uiPriority w:val="9"/>
    <w:unhideWhenUsed/>
    <w:qFormat/>
    <w:pPr>
      <w:spacing w:before="200" w:after="90"/>
      <w:outlineLvl w:val="1"/>
    </w:pPr>
    <w:rPr>
      <w:rFonts w:eastAsia="Arial"/>
      <w:b/>
      <w:bCs/>
      <w:color w:val="0D2B4E"/>
      <w:sz w:val="25"/>
      <w:szCs w:val="25"/>
    </w:rPr>
  </w:style>
  <w:style w:type="paragraph" w:styleId="3">
    <w:name w:val="heading 3"/>
    <w:uiPriority w:val="9"/>
    <w:semiHidden/>
    <w:unhideWhenUsed/>
    <w:qFormat/>
    <w:pPr>
      <w:spacing w:before="130" w:after="60"/>
      <w:outlineLvl w:val="2"/>
    </w:pPr>
    <w:rPr>
      <w:rFonts w:eastAsia="Arial"/>
      <w:b/>
      <w:bCs/>
      <w:color w:val="007C9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485DC5"/>
    <w:rPr>
      <w:color w:val="605E5C"/>
      <w:shd w:val="clear" w:color="auto" w:fill="E1DFDD"/>
    </w:rPr>
  </w:style>
  <w:style w:type="paragraph" w:styleId="ad">
    <w:name w:val="header"/>
    <w:basedOn w:val="a"/>
    <w:link w:val="ae"/>
    <w:uiPriority w:val="99"/>
    <w:unhideWhenUsed/>
    <w:rsid w:val="00CC02B8"/>
    <w:pPr>
      <w:tabs>
        <w:tab w:val="center" w:pos="4153"/>
        <w:tab w:val="right" w:pos="8306"/>
      </w:tabs>
      <w:snapToGrid w:val="0"/>
      <w:jc w:val="center"/>
    </w:pPr>
    <w:rPr>
      <w:sz w:val="18"/>
      <w:szCs w:val="18"/>
    </w:rPr>
  </w:style>
  <w:style w:type="character" w:customStyle="1" w:styleId="ae">
    <w:name w:val="页眉 字符"/>
    <w:basedOn w:val="a0"/>
    <w:link w:val="ad"/>
    <w:uiPriority w:val="99"/>
    <w:rsid w:val="00CC02B8"/>
    <w:rPr>
      <w:sz w:val="18"/>
      <w:szCs w:val="18"/>
    </w:rPr>
  </w:style>
  <w:style w:type="paragraph" w:styleId="af">
    <w:name w:val="footer"/>
    <w:basedOn w:val="a"/>
    <w:link w:val="af0"/>
    <w:uiPriority w:val="99"/>
    <w:unhideWhenUsed/>
    <w:rsid w:val="00CC02B8"/>
    <w:pPr>
      <w:tabs>
        <w:tab w:val="center" w:pos="4153"/>
        <w:tab w:val="right" w:pos="8306"/>
      </w:tabs>
      <w:snapToGrid w:val="0"/>
    </w:pPr>
    <w:rPr>
      <w:sz w:val="18"/>
      <w:szCs w:val="18"/>
    </w:rPr>
  </w:style>
  <w:style w:type="character" w:customStyle="1" w:styleId="af0">
    <w:name w:val="页脚 字符"/>
    <w:basedOn w:val="a0"/>
    <w:link w:val="af"/>
    <w:uiPriority w:val="99"/>
    <w:rsid w:val="00CC02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c.treas.gov/news-issuances/bulletins/2026/bulletin-2026-13.html" TargetMode="External"/><Relationship Id="rId3" Type="http://schemas.openxmlformats.org/officeDocument/2006/relationships/settings" Target="settings.xml"/><Relationship Id="rId7" Type="http://schemas.openxmlformats.org/officeDocument/2006/relationships/hyperlink" Target="https://www.fca.org.uk/news/blogs/year-2-consumer-duty-board-reports-progress-and-what-comes-n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s.gov.sg/publications/monographs-or-information-paper/2018/feat-principle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2029</Words>
  <Characters>11855</Characters>
  <Application>Microsoft Office Word</Application>
  <DocSecurity>0</DocSecurity>
  <Lines>182</Lines>
  <Paragraphs>57</Paragraphs>
  <ScaleCrop>false</ScaleCrop>
  <Company/>
  <LinksUpToDate>false</LinksUpToDate>
  <CharactersWithSpaces>13827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元 刘</cp:lastModifiedBy>
  <cp:revision>6</cp:revision>
  <dcterms:created xsi:type="dcterms:W3CDTF">2026-05-20T06:06:00Z</dcterms:created>
  <dcterms:modified xsi:type="dcterms:W3CDTF">2026-05-23T13:35:00Z</dcterms:modified>
</cp:coreProperties>
</file>