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CF57" w14:textId="5B9AB85C" w:rsidR="00603693" w:rsidRPr="00603693" w:rsidRDefault="00603693" w:rsidP="00603693">
      <w:pPr>
        <w:jc w:val="center"/>
        <w:rPr>
          <w:rFonts w:ascii="Times New Roman" w:hAnsi="Times New Roman" w:cs="Times New Roman" w:hint="eastAsia"/>
          <w:b/>
          <w:bCs/>
          <w:sz w:val="28"/>
          <w:szCs w:val="28"/>
        </w:rPr>
      </w:pPr>
      <w:r w:rsidRPr="001431D9">
        <w:rPr>
          <w:rFonts w:ascii="Times New Roman" w:hAnsi="Times New Roman" w:cs="Times New Roman"/>
          <w:b/>
          <w:bCs/>
          <w:sz w:val="28"/>
          <w:szCs w:val="28"/>
        </w:rPr>
        <w:t>Task 3 Tool Design Summary</w:t>
      </w:r>
    </w:p>
    <w:p w14:paraId="79D39704" w14:textId="77777777" w:rsidR="00603693" w:rsidRPr="00603693" w:rsidRDefault="00603693" w:rsidP="00603693">
      <w:pPr>
        <w:rPr>
          <w:rFonts w:ascii="Times New Roman" w:hAnsi="Times New Roman" w:cs="Times New Roman"/>
          <w:b/>
          <w:bCs/>
          <w:sz w:val="24"/>
          <w:szCs w:val="24"/>
        </w:rPr>
      </w:pPr>
      <w:r w:rsidRPr="00603693">
        <w:rPr>
          <w:rFonts w:ascii="Times New Roman" w:hAnsi="Times New Roman" w:cs="Times New Roman"/>
          <w:b/>
          <w:bCs/>
          <w:sz w:val="24"/>
          <w:szCs w:val="24"/>
        </w:rPr>
        <w:t>1. Overview and Core Philosophy</w:t>
      </w:r>
    </w:p>
    <w:p w14:paraId="455572DB" w14:textId="77777777" w:rsidR="00603693" w:rsidRPr="00603693" w:rsidRDefault="00603693" w:rsidP="00603693">
      <w:pPr>
        <w:rPr>
          <w:rFonts w:ascii="Times New Roman" w:hAnsi="Times New Roman" w:cs="Times New Roman"/>
          <w:sz w:val="24"/>
          <w:szCs w:val="24"/>
        </w:rPr>
      </w:pPr>
      <w:proofErr w:type="spellStart"/>
      <w:r w:rsidRPr="00603693">
        <w:rPr>
          <w:rFonts w:ascii="Times New Roman" w:hAnsi="Times New Roman" w:cs="Times New Roman"/>
          <w:sz w:val="24"/>
          <w:szCs w:val="24"/>
        </w:rPr>
        <w:t>VeridianMRM</w:t>
      </w:r>
      <w:proofErr w:type="spellEnd"/>
      <w:r w:rsidRPr="00603693">
        <w:rPr>
          <w:rFonts w:ascii="Times New Roman" w:hAnsi="Times New Roman" w:cs="Times New Roman"/>
          <w:sz w:val="24"/>
          <w:szCs w:val="24"/>
        </w:rPr>
        <w:t xml:space="preserve"> is a jurisdiction-aware AI/ML model risk monitor for cross-border financial institutions like Standard Chartered. Grounded in "epistemic honesty," the tool prioritizes detecting genuine risk over generating compliant-looking documentation. It is engineered to prevent institutions from silently applying looser regulatory standards to stricter jurisdictions, which would otherwise obscure model failures. </w:t>
      </w:r>
    </w:p>
    <w:p w14:paraId="7A2425E1" w14:textId="77777777" w:rsidR="00603693" w:rsidRPr="00603693" w:rsidRDefault="00603693" w:rsidP="00603693">
      <w:pPr>
        <w:rPr>
          <w:rFonts w:ascii="Times New Roman" w:hAnsi="Times New Roman" w:cs="Times New Roman"/>
          <w:b/>
          <w:bCs/>
          <w:sz w:val="24"/>
          <w:szCs w:val="24"/>
        </w:rPr>
      </w:pPr>
      <w:r w:rsidRPr="00603693">
        <w:rPr>
          <w:rFonts w:ascii="Times New Roman" w:hAnsi="Times New Roman" w:cs="Times New Roman"/>
          <w:b/>
          <w:bCs/>
          <w:sz w:val="24"/>
          <w:szCs w:val="24"/>
        </w:rPr>
        <w:t>2. Quantitative Metrics and Jurisdiction-Aware Thresholds</w:t>
      </w:r>
    </w:p>
    <w:p w14:paraId="57CE1F46" w14:textId="77777777" w:rsidR="00603693" w:rsidRPr="00603693" w:rsidRDefault="00603693" w:rsidP="00603693">
      <w:pPr>
        <w:rPr>
          <w:rFonts w:ascii="Times New Roman" w:hAnsi="Times New Roman" w:cs="Times New Roman"/>
          <w:sz w:val="24"/>
          <w:szCs w:val="24"/>
        </w:rPr>
      </w:pPr>
      <w:r w:rsidRPr="00603693">
        <w:rPr>
          <w:rFonts w:ascii="Times New Roman" w:hAnsi="Times New Roman" w:cs="Times New Roman"/>
          <w:sz w:val="24"/>
          <w:szCs w:val="24"/>
        </w:rPr>
        <w:t xml:space="preserve">To ensure substantive monitoring, the tool tracks three highly scrutinized metrics using jurisdiction-specific rules: </w:t>
      </w:r>
    </w:p>
    <w:p w14:paraId="1992A80F" w14:textId="77777777" w:rsidR="00603693" w:rsidRPr="00603693" w:rsidRDefault="00603693" w:rsidP="00603693">
      <w:pPr>
        <w:pStyle w:val="a9"/>
        <w:numPr>
          <w:ilvl w:val="0"/>
          <w:numId w:val="6"/>
        </w:numPr>
        <w:rPr>
          <w:rFonts w:ascii="Times New Roman" w:hAnsi="Times New Roman" w:cs="Times New Roman"/>
          <w:sz w:val="24"/>
          <w:szCs w:val="24"/>
        </w:rPr>
      </w:pPr>
      <w:r w:rsidRPr="00603693">
        <w:rPr>
          <w:rFonts w:ascii="Times New Roman" w:hAnsi="Times New Roman" w:cs="Times New Roman"/>
          <w:sz w:val="24"/>
          <w:szCs w:val="24"/>
        </w:rPr>
        <w:t xml:space="preserve">Population Stability Index (PSI): Measures data drift between training and live populations. The MAS warning threshold (0.10) is tighter than the OCC's (0.15) to reflect higher consumer protection standards for Singapore's unsecured retail credit market. </w:t>
      </w:r>
    </w:p>
    <w:p w14:paraId="2A4602F2" w14:textId="3F52FACA" w:rsidR="00603693" w:rsidRPr="00603693" w:rsidRDefault="00603693" w:rsidP="00603693">
      <w:pPr>
        <w:pStyle w:val="a9"/>
        <w:numPr>
          <w:ilvl w:val="0"/>
          <w:numId w:val="6"/>
        </w:numPr>
        <w:rPr>
          <w:rFonts w:ascii="Times New Roman" w:hAnsi="Times New Roman" w:cs="Times New Roman"/>
          <w:sz w:val="24"/>
          <w:szCs w:val="24"/>
        </w:rPr>
      </w:pPr>
      <w:r w:rsidRPr="00603693">
        <w:rPr>
          <w:rFonts w:ascii="Times New Roman" w:hAnsi="Times New Roman" w:cs="Times New Roman"/>
          <w:sz w:val="24"/>
          <w:szCs w:val="24"/>
        </w:rPr>
        <w:t>AUC Degradation: Tracks the loss of discriminative power. Both regulators issue a warning at a 5% drop</w:t>
      </w:r>
      <w:r>
        <w:rPr>
          <w:rFonts w:ascii="Times New Roman" w:hAnsi="Times New Roman" w:cs="Times New Roman" w:hint="eastAsia"/>
          <w:sz w:val="24"/>
          <w:szCs w:val="24"/>
        </w:rPr>
        <w:t>,</w:t>
      </w:r>
      <w:r w:rsidRPr="00603693">
        <w:rPr>
          <w:rFonts w:ascii="Times New Roman" w:hAnsi="Times New Roman" w:cs="Times New Roman"/>
          <w:sz w:val="24"/>
          <w:szCs w:val="24"/>
        </w:rPr>
        <w:t xml:space="preserve"> but MAS mandates critical revalidation at 5%, whereas OCC permits degradation up to 10%. </w:t>
      </w:r>
    </w:p>
    <w:p w14:paraId="5AEBB9EE" w14:textId="7DE595BF" w:rsidR="00603693" w:rsidRPr="00603693" w:rsidRDefault="00603693" w:rsidP="00603693">
      <w:pPr>
        <w:pStyle w:val="a9"/>
        <w:numPr>
          <w:ilvl w:val="0"/>
          <w:numId w:val="6"/>
        </w:numPr>
        <w:rPr>
          <w:rFonts w:ascii="Times New Roman" w:hAnsi="Times New Roman" w:cs="Times New Roman"/>
          <w:sz w:val="24"/>
          <w:szCs w:val="24"/>
        </w:rPr>
      </w:pPr>
      <w:r w:rsidRPr="00603693">
        <w:rPr>
          <w:rFonts w:ascii="Times New Roman" w:hAnsi="Times New Roman" w:cs="Times New Roman"/>
          <w:sz w:val="24"/>
          <w:szCs w:val="24"/>
        </w:rPr>
        <w:t xml:space="preserve">Approval Rate Disparity (Fairness): Assesses demographic bias. OCC applies the statutory 80% rule (adverse impact ratio), while MAS enforces a strict 5 percentage-point gap and actively requires proxy discrimination checks. </w:t>
      </w:r>
    </w:p>
    <w:p w14:paraId="2048CC42" w14:textId="77777777" w:rsidR="00603693" w:rsidRPr="00603693" w:rsidRDefault="00603693" w:rsidP="00603693">
      <w:pPr>
        <w:rPr>
          <w:rFonts w:ascii="Times New Roman" w:hAnsi="Times New Roman" w:cs="Times New Roman"/>
          <w:sz w:val="24"/>
          <w:szCs w:val="24"/>
        </w:rPr>
      </w:pPr>
      <w:r w:rsidRPr="00603693">
        <w:rPr>
          <w:rFonts w:ascii="Times New Roman" w:hAnsi="Times New Roman" w:cs="Times New Roman"/>
          <w:sz w:val="24"/>
          <w:szCs w:val="24"/>
        </w:rPr>
        <w:t xml:space="preserve">Quantitative Justification: Analysis of the synthetic 2025–2026 data demonstrates that relying solely on OCC thresholds would allow a degrading model to operate in Singapore for five additional months without triggering a compliance alert. </w:t>
      </w:r>
    </w:p>
    <w:p w14:paraId="23D0CFED" w14:textId="77777777" w:rsidR="00603693" w:rsidRPr="00603693" w:rsidRDefault="00603693" w:rsidP="00603693">
      <w:pPr>
        <w:rPr>
          <w:rFonts w:ascii="Times New Roman" w:hAnsi="Times New Roman" w:cs="Times New Roman"/>
          <w:b/>
          <w:bCs/>
          <w:sz w:val="24"/>
          <w:szCs w:val="24"/>
        </w:rPr>
      </w:pPr>
      <w:r w:rsidRPr="00603693">
        <w:rPr>
          <w:rFonts w:ascii="Times New Roman" w:hAnsi="Times New Roman" w:cs="Times New Roman"/>
          <w:b/>
          <w:bCs/>
          <w:sz w:val="24"/>
          <w:szCs w:val="24"/>
        </w:rPr>
        <w:t>3. Sensitivity Analysis and Configurable Logic</w:t>
      </w:r>
    </w:p>
    <w:p w14:paraId="1CC589AC" w14:textId="77777777" w:rsidR="00603693" w:rsidRPr="00603693" w:rsidRDefault="00603693" w:rsidP="00603693">
      <w:pPr>
        <w:rPr>
          <w:rFonts w:ascii="Times New Roman" w:hAnsi="Times New Roman" w:cs="Times New Roman"/>
          <w:sz w:val="24"/>
          <w:szCs w:val="24"/>
        </w:rPr>
      </w:pPr>
      <w:r w:rsidRPr="00603693">
        <w:rPr>
          <w:rFonts w:ascii="Times New Roman" w:hAnsi="Times New Roman" w:cs="Times New Roman"/>
          <w:sz w:val="24"/>
          <w:szCs w:val="24"/>
        </w:rPr>
        <w:t xml:space="preserve">A sensitivity analysis scaling the PSI drift (mild, base, severe) proved that the early-warning gap between MAS and OCC is not universal; it compresses under severe trajectories. Because outcomes depend heavily on shifting data distributions, </w:t>
      </w:r>
      <w:proofErr w:type="spellStart"/>
      <w:r w:rsidRPr="00603693">
        <w:rPr>
          <w:rFonts w:ascii="Times New Roman" w:hAnsi="Times New Roman" w:cs="Times New Roman"/>
          <w:sz w:val="24"/>
          <w:szCs w:val="24"/>
        </w:rPr>
        <w:t>VeridianMRM’s</w:t>
      </w:r>
      <w:proofErr w:type="spellEnd"/>
      <w:r w:rsidRPr="00603693">
        <w:rPr>
          <w:rFonts w:ascii="Times New Roman" w:hAnsi="Times New Roman" w:cs="Times New Roman"/>
          <w:sz w:val="24"/>
          <w:szCs w:val="24"/>
        </w:rPr>
        <w:t xml:space="preserve"> thresholds are configurable rather than hardcoded. This design acknowledges that threshold selection is ultimately a policy decision, not just a statistical one. </w:t>
      </w:r>
    </w:p>
    <w:p w14:paraId="613F4567" w14:textId="77777777" w:rsidR="00603693" w:rsidRPr="00603693" w:rsidRDefault="00603693" w:rsidP="00603693">
      <w:pPr>
        <w:rPr>
          <w:rFonts w:ascii="Times New Roman" w:hAnsi="Times New Roman" w:cs="Times New Roman"/>
          <w:b/>
          <w:bCs/>
          <w:sz w:val="24"/>
          <w:szCs w:val="24"/>
        </w:rPr>
      </w:pPr>
      <w:r w:rsidRPr="00603693">
        <w:rPr>
          <w:rFonts w:ascii="Times New Roman" w:hAnsi="Times New Roman" w:cs="Times New Roman"/>
          <w:b/>
          <w:bCs/>
          <w:sz w:val="24"/>
          <w:szCs w:val="24"/>
        </w:rPr>
        <w:t>4. Explicit Boundaries: What the Tool Does Not Do</w:t>
      </w:r>
    </w:p>
    <w:p w14:paraId="535669EB" w14:textId="77777777" w:rsidR="00603693" w:rsidRPr="00603693" w:rsidRDefault="00603693" w:rsidP="00603693">
      <w:pPr>
        <w:rPr>
          <w:rFonts w:ascii="Times New Roman" w:hAnsi="Times New Roman" w:cs="Times New Roman"/>
          <w:sz w:val="24"/>
          <w:szCs w:val="24"/>
        </w:rPr>
      </w:pPr>
      <w:r w:rsidRPr="00603693">
        <w:rPr>
          <w:rFonts w:ascii="Times New Roman" w:hAnsi="Times New Roman" w:cs="Times New Roman"/>
          <w:sz w:val="24"/>
          <w:szCs w:val="24"/>
        </w:rPr>
        <w:t xml:space="preserve">To enforce human accountability and avoid "documentation theatre," </w:t>
      </w:r>
      <w:proofErr w:type="spellStart"/>
      <w:r w:rsidRPr="00603693">
        <w:rPr>
          <w:rFonts w:ascii="Times New Roman" w:hAnsi="Times New Roman" w:cs="Times New Roman"/>
          <w:sz w:val="24"/>
          <w:szCs w:val="24"/>
        </w:rPr>
        <w:t>VeridianMRM</w:t>
      </w:r>
      <w:proofErr w:type="spellEnd"/>
      <w:r w:rsidRPr="00603693">
        <w:rPr>
          <w:rFonts w:ascii="Times New Roman" w:hAnsi="Times New Roman" w:cs="Times New Roman"/>
          <w:sz w:val="24"/>
          <w:szCs w:val="24"/>
        </w:rPr>
        <w:t xml:space="preserve"> establishes strict operational boundaries: </w:t>
      </w:r>
    </w:p>
    <w:p w14:paraId="352A2C9F" w14:textId="77777777" w:rsidR="00603693" w:rsidRPr="00603693" w:rsidRDefault="00603693" w:rsidP="00603693">
      <w:pPr>
        <w:pStyle w:val="a9"/>
        <w:numPr>
          <w:ilvl w:val="0"/>
          <w:numId w:val="7"/>
        </w:numPr>
        <w:rPr>
          <w:rFonts w:ascii="Times New Roman" w:hAnsi="Times New Roman" w:cs="Times New Roman"/>
          <w:sz w:val="24"/>
          <w:szCs w:val="24"/>
        </w:rPr>
      </w:pPr>
      <w:r w:rsidRPr="00603693">
        <w:rPr>
          <w:rFonts w:ascii="Times New Roman" w:hAnsi="Times New Roman" w:cs="Times New Roman"/>
          <w:sz w:val="24"/>
          <w:szCs w:val="24"/>
        </w:rPr>
        <w:t xml:space="preserve">No Auto-Generated Submissions: The tool will not generate OCC validation reports or MAS certificates, preventing the illusion of compliance without a qualified validator's conceptual judgment. </w:t>
      </w:r>
    </w:p>
    <w:p w14:paraId="2DFE97D8" w14:textId="77777777" w:rsidR="00603693" w:rsidRPr="00603693" w:rsidRDefault="00603693" w:rsidP="00603693">
      <w:pPr>
        <w:pStyle w:val="a9"/>
        <w:numPr>
          <w:ilvl w:val="0"/>
          <w:numId w:val="7"/>
        </w:numPr>
        <w:rPr>
          <w:rFonts w:ascii="Times New Roman" w:hAnsi="Times New Roman" w:cs="Times New Roman"/>
          <w:sz w:val="24"/>
          <w:szCs w:val="24"/>
        </w:rPr>
      </w:pPr>
      <w:r w:rsidRPr="00603693">
        <w:rPr>
          <w:rFonts w:ascii="Times New Roman" w:hAnsi="Times New Roman" w:cs="Times New Roman"/>
          <w:sz w:val="24"/>
          <w:szCs w:val="24"/>
        </w:rPr>
        <w:t xml:space="preserve">No Conceptual Soundness Checks: Evaluating data lineage or model theory fundamentally requires human expertise, which cannot be automated. </w:t>
      </w:r>
    </w:p>
    <w:p w14:paraId="1B140945" w14:textId="632B7131" w:rsidR="00603693" w:rsidRPr="00603693" w:rsidRDefault="00603693" w:rsidP="00603693">
      <w:pPr>
        <w:pStyle w:val="a9"/>
        <w:numPr>
          <w:ilvl w:val="0"/>
          <w:numId w:val="7"/>
        </w:numPr>
        <w:rPr>
          <w:rFonts w:ascii="Times New Roman" w:hAnsi="Times New Roman" w:cs="Times New Roman"/>
          <w:sz w:val="24"/>
          <w:szCs w:val="24"/>
        </w:rPr>
      </w:pPr>
      <w:r w:rsidRPr="00603693">
        <w:rPr>
          <w:rFonts w:ascii="Times New Roman" w:hAnsi="Times New Roman" w:cs="Times New Roman"/>
          <w:sz w:val="24"/>
          <w:szCs w:val="24"/>
        </w:rPr>
        <w:t xml:space="preserve">No US GenAI Monitoring: Following OCC Bulletin 2026-13, </w:t>
      </w:r>
      <w:r>
        <w:rPr>
          <w:rFonts w:ascii="Times New Roman" w:hAnsi="Times New Roman" w:cs="Times New Roman" w:hint="eastAsia"/>
          <w:sz w:val="24"/>
          <w:szCs w:val="24"/>
        </w:rPr>
        <w:t>G</w:t>
      </w:r>
      <w:r w:rsidRPr="00603693">
        <w:rPr>
          <w:rFonts w:ascii="Times New Roman" w:hAnsi="Times New Roman" w:cs="Times New Roman"/>
          <w:sz w:val="24"/>
          <w:szCs w:val="24"/>
        </w:rPr>
        <w:t xml:space="preserve">enAI is explicitly excluded from US monitoring parameters to mirror the regulator's boundaries. </w:t>
      </w:r>
    </w:p>
    <w:p w14:paraId="08DBE154" w14:textId="3A16C684" w:rsidR="00B7708E" w:rsidRPr="00603693" w:rsidRDefault="00603693" w:rsidP="00603693">
      <w:pPr>
        <w:pStyle w:val="a9"/>
        <w:numPr>
          <w:ilvl w:val="0"/>
          <w:numId w:val="7"/>
        </w:numPr>
        <w:rPr>
          <w:rFonts w:ascii="Times New Roman" w:hAnsi="Times New Roman" w:cs="Times New Roman" w:hint="eastAsia"/>
          <w:sz w:val="24"/>
          <w:szCs w:val="24"/>
        </w:rPr>
      </w:pPr>
      <w:r w:rsidRPr="00603693">
        <w:rPr>
          <w:rFonts w:ascii="Times New Roman" w:hAnsi="Times New Roman" w:cs="Times New Roman"/>
          <w:sz w:val="24"/>
          <w:szCs w:val="24"/>
        </w:rPr>
        <w:t xml:space="preserve">No Unsupported Jurisdictions: The tool excludes regions like the UK, EU, and Canada. The engineering stance is that providing poorly mapped oversight is vastly more dangerous than providing none at all. </w:t>
      </w:r>
    </w:p>
    <w:sectPr w:rsidR="00B7708E" w:rsidRPr="006036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D753C" w14:textId="77777777" w:rsidR="00EA7342" w:rsidRDefault="00EA7342" w:rsidP="003D6211">
      <w:pPr>
        <w:rPr>
          <w:rFonts w:hint="eastAsia"/>
        </w:rPr>
      </w:pPr>
      <w:r>
        <w:separator/>
      </w:r>
    </w:p>
  </w:endnote>
  <w:endnote w:type="continuationSeparator" w:id="0">
    <w:p w14:paraId="7F634CAB" w14:textId="77777777" w:rsidR="00EA7342" w:rsidRDefault="00EA7342" w:rsidP="003D62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A1A8" w14:textId="77777777" w:rsidR="00EA7342" w:rsidRDefault="00EA7342" w:rsidP="003D6211">
      <w:pPr>
        <w:rPr>
          <w:rFonts w:hint="eastAsia"/>
        </w:rPr>
      </w:pPr>
      <w:r>
        <w:separator/>
      </w:r>
    </w:p>
  </w:footnote>
  <w:footnote w:type="continuationSeparator" w:id="0">
    <w:p w14:paraId="71AE0FB0" w14:textId="77777777" w:rsidR="00EA7342" w:rsidRDefault="00EA7342" w:rsidP="003D621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55A"/>
    <w:multiLevelType w:val="multilevel"/>
    <w:tmpl w:val="564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27501"/>
    <w:multiLevelType w:val="multilevel"/>
    <w:tmpl w:val="CB2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64CD2"/>
    <w:multiLevelType w:val="multilevel"/>
    <w:tmpl w:val="D8523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560E8"/>
    <w:multiLevelType w:val="hybridMultilevel"/>
    <w:tmpl w:val="FE4A1AC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D753E36"/>
    <w:multiLevelType w:val="hybridMultilevel"/>
    <w:tmpl w:val="C3CAB8B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4481BBE"/>
    <w:multiLevelType w:val="multilevel"/>
    <w:tmpl w:val="1ADA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01EF6"/>
    <w:multiLevelType w:val="multilevel"/>
    <w:tmpl w:val="ECE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25286">
    <w:abstractNumId w:val="2"/>
  </w:num>
  <w:num w:numId="2" w16cid:durableId="1567642699">
    <w:abstractNumId w:val="6"/>
  </w:num>
  <w:num w:numId="3" w16cid:durableId="1091240729">
    <w:abstractNumId w:val="1"/>
  </w:num>
  <w:num w:numId="4" w16cid:durableId="138114185">
    <w:abstractNumId w:val="5"/>
  </w:num>
  <w:num w:numId="5" w16cid:durableId="2109735094">
    <w:abstractNumId w:val="0"/>
  </w:num>
  <w:num w:numId="6" w16cid:durableId="266885664">
    <w:abstractNumId w:val="4"/>
  </w:num>
  <w:num w:numId="7" w16cid:durableId="6025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6B"/>
    <w:rsid w:val="00075302"/>
    <w:rsid w:val="003D6211"/>
    <w:rsid w:val="00427874"/>
    <w:rsid w:val="00465373"/>
    <w:rsid w:val="005F5F6B"/>
    <w:rsid w:val="00603693"/>
    <w:rsid w:val="00685DD4"/>
    <w:rsid w:val="00B7708E"/>
    <w:rsid w:val="00EA7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9B0E4"/>
  <w15:chartTrackingRefBased/>
  <w15:docId w15:val="{3A2C25C9-3F24-4CBE-80D3-3F35316B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5F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5F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5F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5F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5F6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F5F6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5F6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5F6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5F6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5F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5F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5F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5F6B"/>
    <w:rPr>
      <w:rFonts w:cstheme="majorBidi"/>
      <w:color w:val="0F4761" w:themeColor="accent1" w:themeShade="BF"/>
      <w:sz w:val="28"/>
      <w:szCs w:val="28"/>
    </w:rPr>
  </w:style>
  <w:style w:type="character" w:customStyle="1" w:styleId="50">
    <w:name w:val="标题 5 字符"/>
    <w:basedOn w:val="a0"/>
    <w:link w:val="5"/>
    <w:uiPriority w:val="9"/>
    <w:semiHidden/>
    <w:rsid w:val="005F5F6B"/>
    <w:rPr>
      <w:rFonts w:cstheme="majorBidi"/>
      <w:color w:val="0F4761" w:themeColor="accent1" w:themeShade="BF"/>
      <w:sz w:val="24"/>
      <w:szCs w:val="24"/>
    </w:rPr>
  </w:style>
  <w:style w:type="character" w:customStyle="1" w:styleId="60">
    <w:name w:val="标题 6 字符"/>
    <w:basedOn w:val="a0"/>
    <w:link w:val="6"/>
    <w:uiPriority w:val="9"/>
    <w:semiHidden/>
    <w:rsid w:val="005F5F6B"/>
    <w:rPr>
      <w:rFonts w:cstheme="majorBidi"/>
      <w:b/>
      <w:bCs/>
      <w:color w:val="0F4761" w:themeColor="accent1" w:themeShade="BF"/>
    </w:rPr>
  </w:style>
  <w:style w:type="character" w:customStyle="1" w:styleId="70">
    <w:name w:val="标题 7 字符"/>
    <w:basedOn w:val="a0"/>
    <w:link w:val="7"/>
    <w:uiPriority w:val="9"/>
    <w:semiHidden/>
    <w:rsid w:val="005F5F6B"/>
    <w:rPr>
      <w:rFonts w:cstheme="majorBidi"/>
      <w:b/>
      <w:bCs/>
      <w:color w:val="595959" w:themeColor="text1" w:themeTint="A6"/>
    </w:rPr>
  </w:style>
  <w:style w:type="character" w:customStyle="1" w:styleId="80">
    <w:name w:val="标题 8 字符"/>
    <w:basedOn w:val="a0"/>
    <w:link w:val="8"/>
    <w:uiPriority w:val="9"/>
    <w:semiHidden/>
    <w:rsid w:val="005F5F6B"/>
    <w:rPr>
      <w:rFonts w:cstheme="majorBidi"/>
      <w:color w:val="595959" w:themeColor="text1" w:themeTint="A6"/>
    </w:rPr>
  </w:style>
  <w:style w:type="character" w:customStyle="1" w:styleId="90">
    <w:name w:val="标题 9 字符"/>
    <w:basedOn w:val="a0"/>
    <w:link w:val="9"/>
    <w:uiPriority w:val="9"/>
    <w:semiHidden/>
    <w:rsid w:val="005F5F6B"/>
    <w:rPr>
      <w:rFonts w:eastAsiaTheme="majorEastAsia" w:cstheme="majorBidi"/>
      <w:color w:val="595959" w:themeColor="text1" w:themeTint="A6"/>
    </w:rPr>
  </w:style>
  <w:style w:type="paragraph" w:styleId="a3">
    <w:name w:val="Title"/>
    <w:basedOn w:val="a"/>
    <w:next w:val="a"/>
    <w:link w:val="a4"/>
    <w:uiPriority w:val="10"/>
    <w:qFormat/>
    <w:rsid w:val="005F5F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5F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5F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5F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5F6B"/>
    <w:pPr>
      <w:spacing w:before="160" w:after="160"/>
      <w:jc w:val="center"/>
    </w:pPr>
    <w:rPr>
      <w:i/>
      <w:iCs/>
      <w:color w:val="404040" w:themeColor="text1" w:themeTint="BF"/>
    </w:rPr>
  </w:style>
  <w:style w:type="character" w:customStyle="1" w:styleId="a8">
    <w:name w:val="引用 字符"/>
    <w:basedOn w:val="a0"/>
    <w:link w:val="a7"/>
    <w:uiPriority w:val="29"/>
    <w:rsid w:val="005F5F6B"/>
    <w:rPr>
      <w:i/>
      <w:iCs/>
      <w:color w:val="404040" w:themeColor="text1" w:themeTint="BF"/>
    </w:rPr>
  </w:style>
  <w:style w:type="paragraph" w:styleId="a9">
    <w:name w:val="List Paragraph"/>
    <w:basedOn w:val="a"/>
    <w:uiPriority w:val="34"/>
    <w:qFormat/>
    <w:rsid w:val="005F5F6B"/>
    <w:pPr>
      <w:ind w:left="720"/>
      <w:contextualSpacing/>
    </w:pPr>
  </w:style>
  <w:style w:type="character" w:styleId="aa">
    <w:name w:val="Intense Emphasis"/>
    <w:basedOn w:val="a0"/>
    <w:uiPriority w:val="21"/>
    <w:qFormat/>
    <w:rsid w:val="005F5F6B"/>
    <w:rPr>
      <w:i/>
      <w:iCs/>
      <w:color w:val="0F4761" w:themeColor="accent1" w:themeShade="BF"/>
    </w:rPr>
  </w:style>
  <w:style w:type="paragraph" w:styleId="ab">
    <w:name w:val="Intense Quote"/>
    <w:basedOn w:val="a"/>
    <w:next w:val="a"/>
    <w:link w:val="ac"/>
    <w:uiPriority w:val="30"/>
    <w:qFormat/>
    <w:rsid w:val="005F5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5F6B"/>
    <w:rPr>
      <w:i/>
      <w:iCs/>
      <w:color w:val="0F4761" w:themeColor="accent1" w:themeShade="BF"/>
    </w:rPr>
  </w:style>
  <w:style w:type="character" w:styleId="ad">
    <w:name w:val="Intense Reference"/>
    <w:basedOn w:val="a0"/>
    <w:uiPriority w:val="32"/>
    <w:qFormat/>
    <w:rsid w:val="005F5F6B"/>
    <w:rPr>
      <w:b/>
      <w:bCs/>
      <w:smallCaps/>
      <w:color w:val="0F4761" w:themeColor="accent1" w:themeShade="BF"/>
      <w:spacing w:val="5"/>
    </w:rPr>
  </w:style>
  <w:style w:type="paragraph" w:styleId="ae">
    <w:name w:val="header"/>
    <w:basedOn w:val="a"/>
    <w:link w:val="af"/>
    <w:uiPriority w:val="99"/>
    <w:unhideWhenUsed/>
    <w:rsid w:val="003D6211"/>
    <w:pPr>
      <w:tabs>
        <w:tab w:val="center" w:pos="4153"/>
        <w:tab w:val="right" w:pos="8306"/>
      </w:tabs>
      <w:snapToGrid w:val="0"/>
      <w:jc w:val="center"/>
    </w:pPr>
    <w:rPr>
      <w:sz w:val="18"/>
      <w:szCs w:val="18"/>
    </w:rPr>
  </w:style>
  <w:style w:type="character" w:customStyle="1" w:styleId="af">
    <w:name w:val="页眉 字符"/>
    <w:basedOn w:val="a0"/>
    <w:link w:val="ae"/>
    <w:uiPriority w:val="99"/>
    <w:rsid w:val="003D6211"/>
    <w:rPr>
      <w:sz w:val="18"/>
      <w:szCs w:val="18"/>
    </w:rPr>
  </w:style>
  <w:style w:type="paragraph" w:styleId="af0">
    <w:name w:val="footer"/>
    <w:basedOn w:val="a"/>
    <w:link w:val="af1"/>
    <w:uiPriority w:val="99"/>
    <w:unhideWhenUsed/>
    <w:rsid w:val="003D6211"/>
    <w:pPr>
      <w:tabs>
        <w:tab w:val="center" w:pos="4153"/>
        <w:tab w:val="right" w:pos="8306"/>
      </w:tabs>
      <w:snapToGrid w:val="0"/>
      <w:jc w:val="left"/>
    </w:pPr>
    <w:rPr>
      <w:sz w:val="18"/>
      <w:szCs w:val="18"/>
    </w:rPr>
  </w:style>
  <w:style w:type="character" w:customStyle="1" w:styleId="af1">
    <w:name w:val="页脚 字符"/>
    <w:basedOn w:val="a0"/>
    <w:link w:val="af0"/>
    <w:uiPriority w:val="99"/>
    <w:rsid w:val="003D62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440</Words>
  <Characters>2462</Characters>
  <Application>Microsoft Office Word</Application>
  <DocSecurity>0</DocSecurity>
  <Lines>107</Lines>
  <Paragraphs>67</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元 刘</dc:creator>
  <cp:keywords/>
  <dc:description/>
  <cp:lastModifiedBy>元 刘</cp:lastModifiedBy>
  <cp:revision>3</cp:revision>
  <dcterms:created xsi:type="dcterms:W3CDTF">2026-05-23T20:20:00Z</dcterms:created>
  <dcterms:modified xsi:type="dcterms:W3CDTF">2026-05-24T05:19:00Z</dcterms:modified>
</cp:coreProperties>
</file>